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Military Officer Professional Services &amp; Security Consultancy</w:t>
      </w:r>
    </w:p>
    <w:p>
      <w:pPr>
        <w:pStyle w:val="BodyText"/>
      </w:pPr>
      <w:r>
        <w:t xml:space="preserve">Japan Osaka Region</w:t>
      </w:r>
    </w:p>
    <w:bookmarkEnd w:id="20"/>
    <w:p>
      <w:pPr>
        <w:pStyle w:val="BodyText"/>
      </w:pPr>
      <w:r>
        <w:rPr>
          <w:bCs/>
          <w:b/>
        </w:rPr>
        <w:t xml:space="preserve">Quotation No.:</w:t>
      </w:r>
      <w:r>
        <w:t xml:space="preserve"> </w:t>
      </w:r>
      <w:r>
        <w:t xml:space="preserve">QTE-JPO-2025-0487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Pacific Defense &amp; Security Group Ltd.</w:t>
      </w:r>
      <w:r>
        <w:br/>
      </w:r>
      <w:r>
        <w:rPr>
          <w:bCs/>
          <w:b/>
        </w:rPr>
        <w:t xml:space="preserve">Office:</w:t>
      </w:r>
      <w:r>
        <w:t xml:space="preserve"> </w:t>
      </w:r>
      <w:r>
        <w:t xml:space="preserve">3F, Nakanoshima Tower, Kita-ku, Osaka 530-0003, Japan</w:t>
      </w:r>
      <w:r>
        <w:br/>
      </w:r>
      <w:r>
        <w:rPr>
          <w:bCs/>
          <w:b/>
        </w:rPr>
        <w:t xml:space="preserve">Contact:</w:t>
      </w:r>
      <w:r>
        <w:t xml:space="preserve"> </w:t>
      </w:r>
      <w:r>
        <w:t xml:space="preserve">+81-6-6345-8821 | ops@pacificdefense.jp</w:t>
      </w:r>
    </w:p>
    <w:bookmarkStart w:id="21" w:name="client-assignment-details"/>
    <w:p>
      <w:pPr>
        <w:pStyle w:val="Heading2"/>
      </w:pPr>
      <w:r>
        <w:t xml:space="preserve">1. Client &amp; Assignment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Foreign Affairs – Diplomatic Security Division, Tokyo</w:t>
            </w:r>
          </w:p>
        </w:tc>
      </w:tr>
      <w:tr>
        <w:tc>
          <w:tcPr/>
          <w:p>
            <w:pPr>
              <w:pStyle w:val="Compact"/>
              <w:jc w:val="left"/>
            </w:pPr>
            <w:r>
              <w:rPr>
                <w:bCs/>
                <w:b/>
              </w:rPr>
              <w:t xml:space="preserve">Assignment Location:</w:t>
            </w:r>
          </w:p>
        </w:tc>
        <w:tc>
          <w:tcPr/>
          <w:p>
            <w:pPr>
              <w:pStyle w:val="Compact"/>
              <w:jc w:val="left"/>
            </w:pPr>
            <w:r>
              <w:t xml:space="preserve">Japan Osaka – Kansai International Airport (KIX) &amp; Osaka City Prefectural Government Complex</w:t>
            </w:r>
          </w:p>
        </w:tc>
      </w:tr>
      <w:tr>
        <w:tc>
          <w:tcPr/>
          <w:p>
            <w:pPr>
              <w:pStyle w:val="Compact"/>
              <w:jc w:val="left"/>
            </w:pPr>
            <w:r>
              <w:rPr>
                <w:bCs/>
                <w:b/>
              </w:rPr>
              <w:t xml:space="preserve">Assigned Personnel:</w:t>
            </w:r>
          </w:p>
        </w:tc>
        <w:tc>
          <w:tcPr/>
          <w:p>
            <w:pPr>
              <w:pStyle w:val="Compact"/>
              <w:jc w:val="left"/>
            </w:pPr>
            <w:r>
              <w:t xml:space="preserve">Colonel (Ret.) Haruki Tanaka – Military Officer, 28 years of service, JGSDF</w:t>
            </w:r>
          </w:p>
        </w:tc>
      </w:tr>
      <w:tr>
        <w:tc>
          <w:tcPr/>
          <w:p>
            <w:pPr>
              <w:pStyle w:val="Compact"/>
              <w:jc w:val="left"/>
            </w:pPr>
            <w:r>
              <w:rPr>
                <w:bCs/>
                <w:b/>
              </w:rPr>
              <w:t xml:space="preserve">Duration of Service:</w:t>
            </w:r>
          </w:p>
        </w:tc>
        <w:tc>
          <w:tcPr/>
          <w:p>
            <w:pPr>
              <w:pStyle w:val="Compact"/>
              <w:jc w:val="left"/>
            </w:pPr>
            <w:r>
              <w:t xml:space="preserve">12 months (1 July 2025 – 30 June 2026)</w:t>
            </w:r>
          </w:p>
        </w:tc>
      </w:tr>
      <w:tr>
        <w:tc>
          <w:tcPr/>
          <w:p>
            <w:pPr>
              <w:pStyle w:val="Compact"/>
              <w:jc w:val="left"/>
            </w:pPr>
            <w:r>
              <w:rPr>
                <w:bCs/>
                <w:b/>
              </w:rPr>
              <w:t xml:space="preserve">Purpose:</w:t>
            </w:r>
          </w:p>
        </w:tc>
        <w:tc>
          <w:tcPr/>
          <w:p>
            <w:pPr>
              <w:pStyle w:val="Compact"/>
              <w:jc w:val="left"/>
            </w:pPr>
            <w:r>
              <w:t xml:space="preserve">Provision of a qualified Military Officer to oversee diplomatic security protocols, coordinate with local Japan Osaka law enforcement, and manage contingency planning for high-level government delegations visiting the Osaka metropolitan area.</w:t>
            </w:r>
          </w:p>
        </w:tc>
      </w:tr>
    </w:tbl>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Military Officer – Senior Security Consultant (Colonel Rank, Retired JGSDF). Full-time deployment in Japan Osaka for diplomatic protection and threat assessment.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Inclusive of housing allowance in Osaka</w:t>
            </w:r>
          </w:p>
        </w:tc>
      </w:tr>
      <w:tr>
        <w:tc>
          <w:tcPr/>
          <w:p>
            <w:pPr>
              <w:pStyle w:val="Compact"/>
              <w:jc w:val="left"/>
            </w:pPr>
            <w:r>
              <w:t xml:space="preserve">2</w:t>
            </w:r>
          </w:p>
        </w:tc>
        <w:tc>
          <w:tcPr/>
          <w:p>
            <w:pPr>
              <w:pStyle w:val="Compact"/>
              <w:jc w:val="left"/>
            </w:pPr>
            <w:r>
              <w:t xml:space="preserve">Security Operations Vehicle (Toyota Land Cruiser V8, armoured to B6 standard) – lease and maintenance for Japan Osaka operations.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Includes fuel, insurance, and Osaka city parking permits</w:t>
            </w:r>
          </w:p>
        </w:tc>
      </w:tr>
      <w:tr>
        <w:tc>
          <w:tcPr/>
          <w:p>
            <w:pPr>
              <w:pStyle w:val="Compact"/>
              <w:jc w:val="left"/>
            </w:pPr>
            <w:r>
              <w:t xml:space="preserve">3</w:t>
            </w:r>
          </w:p>
        </w:tc>
        <w:tc>
          <w:tcPr/>
          <w:p>
            <w:pPr>
              <w:pStyle w:val="Compact"/>
              <w:jc w:val="left"/>
            </w:pPr>
            <w:r>
              <w:t xml:space="preserve">Communications &amp; Encryption Equipment Package (SATCOM terminal, encrypted radio set, secure mobile devices) for the Military Officer's operational use.</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One-time procurement; ownership transfers to client</w:t>
            </w:r>
          </w:p>
        </w:tc>
      </w:tr>
      <w:tr>
        <w:tc>
          <w:tcPr/>
          <w:p>
            <w:pPr>
              <w:pStyle w:val="Compact"/>
              <w:jc w:val="left"/>
            </w:pPr>
            <w:r>
              <w:t xml:space="preserve">4</w:t>
            </w:r>
          </w:p>
        </w:tc>
        <w:tc>
          <w:tcPr/>
          <w:p>
            <w:pPr>
              <w:pStyle w:val="Compact"/>
              <w:jc w:val="left"/>
            </w:pPr>
            <w:r>
              <w:t xml:space="preserve">Threat Assessment &amp; Contingency Planning Reports – monthly written intelligence briefings specific to Japan Osaka metropolitan security environment.</w:t>
            </w:r>
          </w:p>
        </w:tc>
        <w:tc>
          <w:tcPr/>
          <w:p>
            <w:pPr>
              <w:pStyle w:val="Compact"/>
              <w:jc w:val="left"/>
            </w:pPr>
            <w:r>
              <w:t xml:space="preserve">12 reports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Delivered to Tokyo HQ and Osaka field office</w:t>
            </w:r>
          </w:p>
        </w:tc>
      </w:tr>
      <w:tr>
        <w:tc>
          <w:tcPr/>
          <w:p>
            <w:pPr>
              <w:pStyle w:val="Compact"/>
              <w:jc w:val="left"/>
            </w:pPr>
            <w:r>
              <w:t xml:space="preserve">5</w:t>
            </w:r>
          </w:p>
        </w:tc>
        <w:tc>
          <w:tcPr/>
          <w:p>
            <w:pPr>
              <w:pStyle w:val="Compact"/>
              <w:jc w:val="left"/>
            </w:pPr>
            <w:r>
              <w:t xml:space="preserve">Coordination &amp; Liaison Services – Military Officer to interface with Osaka Metropolitan Police, Japan Coast Guard (Kansai Region), and Self-Defense Force units stationed in the Osaka area.</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Includes travel within Kansai region</w:t>
            </w:r>
          </w:p>
        </w:tc>
      </w:tr>
      <w:tr>
        <w:tc>
          <w:tcPr/>
          <w:p>
            <w:pPr>
              <w:pStyle w:val="Compact"/>
              <w:jc w:val="left"/>
            </w:pPr>
            <w:r>
              <w:t xml:space="preserve">6</w:t>
            </w:r>
          </w:p>
        </w:tc>
        <w:tc>
          <w:tcPr/>
          <w:p>
            <w:pPr>
              <w:pStyle w:val="Compact"/>
              <w:jc w:val="left"/>
            </w:pPr>
            <w:r>
              <w:t xml:space="preserve">Emergency Response &amp; Evacuation Planning – development and annual drill of evacuation routes from Japan Osaka to designated safe havens (Kobe, Kyoto, KIX).</w:t>
            </w:r>
          </w:p>
        </w:tc>
        <w:tc>
          <w:tcPr/>
          <w:p>
            <w:pPr>
              <w:pStyle w:val="Compact"/>
              <w:jc w:val="left"/>
            </w:pPr>
            <w:r>
              <w:t xml:space="preserve">2 drills + 1 plan</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Conducted in coordination with local authorities</w:t>
            </w:r>
          </w:p>
        </w:tc>
      </w:tr>
      <w:tr>
        <w:tc>
          <w:tcPr/>
          <w:p>
            <w:pPr>
              <w:pStyle w:val="Compact"/>
              <w:jc w:val="left"/>
            </w:pPr>
            <w:r>
              <w:t xml:space="preserve">7</w:t>
            </w:r>
          </w:p>
        </w:tc>
        <w:tc>
          <w:tcPr/>
          <w:p>
            <w:pPr>
              <w:pStyle w:val="Compact"/>
              <w:jc w:val="left"/>
            </w:pPr>
            <w:r>
              <w:t xml:space="preserve">Administrative &amp; Logistical Support – visa processing, local registration in Japan Osaka, office setup at Nakanoshima Tower, and general administrative overhead.</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Covers all bureaucratic requirements</w:t>
            </w:r>
          </w:p>
        </w:tc>
      </w:tr>
      <w:tr>
        <w:tc>
          <w:tcPr/>
          <w:p>
            <w:pPr>
              <w:pStyle w:val="Compact"/>
              <w:jc w:val="left"/>
            </w:pPr>
            <w:r>
              <w:t xml:space="preserve">8</w:t>
            </w:r>
          </w:p>
        </w:tc>
        <w:tc>
          <w:tcPr/>
          <w:p>
            <w:pPr>
              <w:pStyle w:val="Compact"/>
              <w:jc w:val="left"/>
            </w:pPr>
            <w:r>
              <w:t xml:space="preserve">Contingency Reserve Fund – allocated for unforeseen operational requirements, additional personnel support, or extended deployment within Japan Osaka.</w:t>
            </w:r>
          </w:p>
        </w:tc>
        <w:tc>
          <w:tcPr/>
          <w:p>
            <w:pPr>
              <w:pStyle w:val="Compact"/>
              <w:jc w:val="left"/>
            </w:pPr>
            <w:r>
              <w:t xml:space="preserve">1 allocation</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Released only upon written client approval</w:t>
            </w:r>
          </w:p>
        </w:tc>
      </w:tr>
      <w:tr>
        <w:tc>
          <w:tcPr>
            <w:gridSpan w:val="4"/>
          </w:tcPr>
          <w:p>
            <w:pPr>
              <w:pStyle w:val="Compact"/>
              <w:jc w:val="right"/>
            </w:pPr>
            <w:r>
              <w:t xml:space="preserve">SUBTOTAL (JPY)</w:t>
            </w:r>
          </w:p>
        </w:tc>
        <w:tc>
          <w:tcPr/>
          <w:p>
            <w:pPr>
              <w:pStyle w:val="Compact"/>
              <w:jc w:val="left"/>
            </w:pPr>
            <w:r>
              <w:t xml:space="preserve">42,240,000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4,224,000</w:t>
            </w:r>
          </w:p>
        </w:tc>
        <w:tc>
          <w:tcPr/>
          <w:p>
            <w:pPr>
              <w:pStyle w:val="Compact"/>
            </w:pPr>
          </w:p>
        </w:tc>
      </w:tr>
      <w:tr>
        <w:tc>
          <w:tcPr>
            <w:gridSpan w:val="4"/>
          </w:tcPr>
          <w:p>
            <w:pPr>
              <w:pStyle w:val="Compact"/>
              <w:jc w:val="right"/>
            </w:pPr>
            <w:r>
              <w:t xml:space="preserve">TOTAL QUOTATION ESTIMATE (JPY)</w:t>
            </w:r>
          </w:p>
        </w:tc>
        <w:tc>
          <w:tcPr/>
          <w:p>
            <w:pPr>
              <w:pStyle w:val="Compact"/>
              <w:jc w:val="left"/>
            </w:pPr>
            <w:r>
              <w:t xml:space="preserve">46,464,000</w:t>
            </w:r>
          </w:p>
        </w:tc>
        <w:tc>
          <w:tcPr/>
          <w:p>
            <w:pPr>
              <w:pStyle w:val="Compact"/>
            </w:pPr>
          </w:p>
        </w:tc>
      </w:tr>
      <w:tr>
        <w:tc>
          <w:tcPr>
            <w:gridSpan w:val="4"/>
          </w:tcPr>
          <w:p>
            <w:pPr>
              <w:pStyle w:val="Compact"/>
              <w:jc w:val="right"/>
            </w:pPr>
            <w:r>
              <w:t xml:space="preserve">TOTAL QUOTATION ESTIMATE (USD, approx. at ¥155/USD)</w:t>
            </w:r>
          </w:p>
        </w:tc>
        <w:tc>
          <w:tcPr/>
          <w:p>
            <w:pPr>
              <w:pStyle w:val="Compact"/>
              <w:jc w:val="left"/>
            </w:pPr>
            <w:r>
              <w:t xml:space="preserve">$299,768</w:t>
            </w:r>
          </w:p>
        </w:tc>
        <w:tc>
          <w:tcPr/>
          <w:p>
            <w:pPr>
              <w:pStyle w:val="Compact"/>
            </w:pPr>
          </w:p>
        </w:tc>
      </w:tr>
    </w:tbl>
    <w:bookmarkEnd w:id="22"/>
    <w:bookmarkStart w:id="23" w:name="Xdce6e8b1eb075be719347c86adf954d72cf98d6"/>
    <w:p>
      <w:pPr>
        <w:pStyle w:val="Heading2"/>
      </w:pPr>
      <w:r>
        <w:t xml:space="preserve">3. Scope of the Military Officer's Responsibilities in Japan Osaka</w:t>
      </w:r>
    </w:p>
    <w:p>
      <w:pPr>
        <w:pStyle w:val="FirstParagraph"/>
      </w:pPr>
      <w:r>
        <w:t xml:space="preserve">The Military Officer assigned under this Quotation Estimate shall serve as the primary security authority for all diplomatic and governmental activities conducted within the Japan Osaka metropolitan area. Specific duties include but are not limited to: conducting daily security sweeps of designated facilities in Osaka; maintaining a 24/7 operational readiness posture; coordinating with the Japan Osaka Metropolitan Police Bureau on joint security operations; preparing and updating threat matrices for the Kansai region; and providing direct security escort for visiting dignitaries during their stay in Japan Osaka. The Military Officer shall report directly to the client's Tokyo-based command while maintaining a permanent operational base in Osaka.</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subject to revision due to currency fluctuation or operational cost changes in Japan Osaka.</w:t>
      </w:r>
    </w:p>
    <w:p>
      <w:pPr>
        <w:numPr>
          <w:ilvl w:val="0"/>
          <w:numId w:val="1001"/>
        </w:numPr>
        <w:pStyle w:val="Compact"/>
      </w:pPr>
      <w:r>
        <w:rPr>
          <w:bCs/>
          <w:b/>
        </w:rPr>
        <w:t xml:space="preserve">Payment Terms:</w:t>
      </w:r>
      <w:r>
        <w:t xml:space="preserve"> </w:t>
      </w:r>
      <w:r>
        <w:t xml:space="preserve">40% advance payment upon contract execution; 30% upon completion of month six; 30% upon final delivery and acceptance at the end of the 12-month service period. All payments in Japanese Yen via bank transfer to the account specified in the contract annex.</w:t>
      </w:r>
    </w:p>
    <w:p>
      <w:pPr>
        <w:numPr>
          <w:ilvl w:val="0"/>
          <w:numId w:val="1001"/>
        </w:numPr>
        <w:pStyle w:val="Compact"/>
      </w:pPr>
      <w:r>
        <w:rPr>
          <w:bCs/>
          <w:b/>
        </w:rPr>
        <w:t xml:space="preserve">Confidentiality:</w:t>
      </w:r>
      <w:r>
        <w:t xml:space="preserve"> </w:t>
      </w:r>
      <w:r>
        <w:t xml:space="preserve">All information exchanged under this Quotation Estimate and subsequent contract is classified as "Confidential – Diplomatic." The Military Officer and all supporting personnel are bound by non-disclosure agreements compliant with Japanese law and the client's internal security regulations.</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common to the Japan Osaka region), acts of war, government sanctions, or other events beyond reasonable control.</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Military Officer's remaining compensation shall be prorated, and all government-issued equipment in Japan Osaka shall be returned to the client.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Japan. Disputes shall be resolved through arbitration in Osaka, Japan, under the rules of the Japan Commercial Arbitration Association.</w:t>
      </w:r>
    </w:p>
    <w:p>
      <w:pPr>
        <w:numPr>
          <w:ilvl w:val="0"/>
          <w:numId w:val="1001"/>
        </w:numPr>
        <w:pStyle w:val="Compact"/>
      </w:pPr>
      <w:r>
        <w:rPr>
          <w:bCs/>
          <w:b/>
        </w:rPr>
        <w:t xml:space="preserve">Compliance:</w:t>
      </w:r>
      <w:r>
        <w:t xml:space="preserve"> </w:t>
      </w:r>
      <w:r>
        <w:t xml:space="preserve">The Military Officer shall comply with all Japanese national security regulations, the Self-Defense Force retention guidelines applicable to retired personnel, and all local ordinances of the City of Osaka and Osaka Prefecture.</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the Military Officer services in Japan Osaka and agrees to the terms outlined herein. This document does not constitute a binding contract until a formal service agreement is executed by both parties.</w:t>
      </w:r>
    </w:p>
    <w:p>
      <w:pPr>
        <w:pStyle w:val="BodyText"/>
      </w:pPr>
      <w:r>
        <w:rPr>
          <w:bCs/>
          <w:b/>
        </w:rPr>
        <w:t xml:space="preserve">For the Client:</w:t>
      </w:r>
      <w:r>
        <w:br/>
      </w:r>
      <w:r>
        <w:t xml:space="preserve">Ministry of Foreign Affairs – Diplomatic Security Division</w:t>
      </w:r>
      <w:r>
        <w:br/>
      </w:r>
      <w:r>
        <w:t xml:space="preserve">Name: _________________________</w:t>
      </w:r>
      <w:r>
        <w:br/>
      </w:r>
      <w:r>
        <w:t xml:space="preserve">Title: _________________________</w:t>
      </w:r>
      <w:r>
        <w:br/>
      </w:r>
      <w:r>
        <w:t xml:space="preserve">Date: _________________________</w:t>
      </w:r>
      <w:r>
        <w:br/>
      </w:r>
      <w:r>
        <w:t xml:space="preserve">Signature &amp; Seal:</w:t>
      </w:r>
    </w:p>
    <w:p>
      <w:pPr>
        <w:pStyle w:val="BodyText"/>
      </w:pPr>
      <w:r>
        <w:rPr>
          <w:bCs/>
          <w:b/>
        </w:rPr>
        <w:t xml:space="preserve">For Pacific Defense &amp; Security Group Ltd.:</w:t>
      </w:r>
      <w:r>
        <w:br/>
      </w:r>
      <w:r>
        <w:t xml:space="preserve">Name: Kenji Watanabe, Director of Operations</w:t>
      </w:r>
      <w:r>
        <w:br/>
      </w:r>
      <w:r>
        <w:t xml:space="preserve">Title: Chief Executive Officer</w:t>
      </w:r>
      <w:r>
        <w:br/>
      </w:r>
      <w:r>
        <w:t xml:space="preserve">Date: _________________________</w:t>
      </w:r>
      <w:r>
        <w:br/>
      </w:r>
      <w:r>
        <w:t xml:space="preserve">Signature &amp; Seal:</w:t>
      </w:r>
    </w:p>
    <w:p>
      <w:pPr>
        <w:pStyle w:val="BodyText"/>
      </w:pPr>
      <w:r>
        <w:t xml:space="preserve">Pacific Defense &amp; Security Group Ltd. | Registered in Japan, Osaka | Corporate No. 2010401087654</w:t>
      </w:r>
      <w:r>
        <w:br/>
      </w:r>
      <w:r>
        <w:t xml:space="preserve">This Quotation Estimate is the property of Pacific Defense &amp; Security Group Ltd. and the client. Unauthorized reproduction or distribution is prohibited.</w:t>
      </w:r>
      <w:r>
        <w:br/>
      </w:r>
      <w:r>
        <w:t xml:space="preserve">Document Reference: QTE-JPO-2025-0487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Japan Osaka</dc:title>
  <dc:creator/>
  <dc:language>en</dc:language>
  <cp:keywords/>
  <dcterms:created xsi:type="dcterms:W3CDTF">2026-10-10T02:05:55Z</dcterms:created>
  <dcterms:modified xsi:type="dcterms:W3CDTF">2026-10-10T02:05:55Z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