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quotation-estimate"/>
    <w:p>
      <w:pPr>
        <w:pStyle w:val="Heading1"/>
      </w:pPr>
      <w:r>
        <w:t xml:space="preserve">QUOTATION ESTIMATE</w:t>
      </w:r>
    </w:p>
    <w:p>
      <w:pPr>
        <w:pStyle w:val="FirstParagraph"/>
      </w:pPr>
      <w:r>
        <w:t xml:space="preserve">Professional Military Officer Engagement Services</w:t>
      </w:r>
    </w:p>
    <w:p>
      <w:pPr>
        <w:pStyle w:val="BodyText"/>
      </w:pPr>
      <w:r>
        <w:t xml:space="preserve">Wellington, New Zealand</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QTE-WLG-2025-0487</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September 2025 (90 days)</w:t>
            </w:r>
          </w:p>
        </w:tc>
      </w:tr>
      <w:tr>
        <w:tc>
          <w:tcPr/>
          <w:p>
            <w:pPr>
              <w:pStyle w:val="Compact"/>
              <w:jc w:val="left"/>
            </w:pPr>
            <w:r>
              <w:t xml:space="preserve">Prepared By:</w:t>
            </w:r>
          </w:p>
        </w:tc>
        <w:tc>
          <w:tcPr/>
          <w:p>
            <w:pPr>
              <w:pStyle w:val="Compact"/>
              <w:jc w:val="left"/>
            </w:pPr>
            <w:r>
              <w:t xml:space="preserve">Defence Personnel Advisory Group, Level 4, 125 Lambton Quay, Wellington 6011, New Zealand</w:t>
            </w:r>
          </w:p>
        </w:tc>
      </w:tr>
      <w:tr>
        <w:tc>
          <w:tcPr/>
          <w:p>
            <w:pPr>
              <w:pStyle w:val="Compact"/>
              <w:jc w:val="left"/>
            </w:pPr>
            <w:r>
              <w:t xml:space="preserve">Prepared For:</w:t>
            </w:r>
          </w:p>
        </w:tc>
        <w:tc>
          <w:tcPr/>
          <w:p>
            <w:pPr>
              <w:pStyle w:val="Compact"/>
              <w:jc w:val="left"/>
            </w:pPr>
            <w:r>
              <w:t xml:space="preserve">Wellington Regional Security &amp; Defence Coordination Office, 15 The Terrace, Wellington 6011, New Zealand</w:t>
            </w:r>
          </w:p>
        </w:tc>
      </w:tr>
      <w:tr>
        <w:tc>
          <w:tcPr/>
          <w:p>
            <w:pPr>
              <w:pStyle w:val="Compact"/>
              <w:jc w:val="left"/>
            </w:pPr>
            <w:r>
              <w:t xml:space="preserve">Contact Person:</w:t>
            </w:r>
          </w:p>
        </w:tc>
        <w:tc>
          <w:tcPr/>
          <w:p>
            <w:pPr>
              <w:pStyle w:val="Compact"/>
              <w:jc w:val="left"/>
            </w:pPr>
            <w:r>
              <w:t xml:space="preserve">Mr. R. Tainui, Senior Procurement Officer</w:t>
            </w:r>
          </w:p>
        </w:tc>
      </w:tr>
      <w:tr>
        <w:tc>
          <w:tcPr/>
          <w:p>
            <w:pPr>
              <w:pStyle w:val="Compact"/>
              <w:jc w:val="left"/>
            </w:pPr>
            <w:r>
              <w:t xml:space="preserve">Reference:</w:t>
            </w:r>
          </w:p>
        </w:tc>
        <w:tc>
          <w:tcPr/>
          <w:p>
            <w:pPr>
              <w:pStyle w:val="Compact"/>
              <w:jc w:val="left"/>
            </w:pPr>
            <w:r>
              <w:t xml:space="preserve">RFP-WLG-DEF-2025-0312</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in response to the formal request for professional services pertaining to the engagement of a qualified</w:t>
      </w:r>
      <w:r>
        <w:t xml:space="preserve"> </w:t>
      </w:r>
      <w:r>
        <w:t xml:space="preserve">Military Officer</w:t>
      </w:r>
      <w:r>
        <w:t xml:space="preserve"> </w:t>
      </w:r>
      <w:r>
        <w:t xml:space="preserve">to support operational, advisory, and coordination functions within the</w:t>
      </w:r>
      <w:r>
        <w:t xml:space="preserve"> </w:t>
      </w:r>
      <w:r>
        <w:t xml:space="preserve">New Zealand Wellington</w:t>
      </w:r>
      <w:r>
        <w:t xml:space="preserve"> </w:t>
      </w:r>
      <w:r>
        <w:t xml:space="preserve">metropolitan area. The scope of this engagement encompasses strategic planning support, inter-agency liaison, emergency preparedness coordination, and ceremonial duties as required by the Wellington Regional Security and Defence Coordination Office throughout the specified contract period.</w:t>
      </w:r>
    </w:p>
    <w:p>
      <w:pPr>
        <w:pStyle w:val="BodyText"/>
      </w:pPr>
      <w:r>
        <w:t xml:space="preserve">The</w:t>
      </w:r>
      <w:r>
        <w:t xml:space="preserve"> </w:t>
      </w:r>
      <w:r>
        <w:t xml:space="preserve">Military Officer</w:t>
      </w:r>
      <w:r>
        <w:t xml:space="preserve"> </w:t>
      </w:r>
      <w:r>
        <w:t xml:space="preserve">proposed for this engagement holds a minimum of fifteen (15) years of active service experience within the New Zealand Defence Force (NZDF), with demonstrated expertise in joint operations, civil-military cooperation, and regional security planning. The officer's deployment is specifically tailored to the unique geographic, political, and operational context of</w:t>
      </w:r>
      <w:r>
        <w:t xml:space="preserve"> </w:t>
      </w:r>
      <w:r>
        <w:t xml:space="preserve">New Zealand Wellington</w:t>
      </w:r>
      <w:r>
        <w:t xml:space="preserve">, including proximity to the National Capital, the Royal New Zealand Navy's Wellington base, and the broader Tasman Sea maritime security environment.</w:t>
      </w:r>
    </w:p>
    <w:bookmarkEnd w:id="21"/>
    <w:bookmarkStart w:id="22" w:name="scope-of-services"/>
    <w:p>
      <w:pPr>
        <w:pStyle w:val="Heading2"/>
      </w:pPr>
      <w:r>
        <w:t xml:space="preserve">2. Scope of Services</w:t>
      </w:r>
    </w:p>
    <w:p>
      <w:pPr>
        <w:pStyle w:val="FirstParagraph"/>
      </w:pPr>
      <w:r>
        <w:t xml:space="preserve">The following services are included within this</w:t>
      </w:r>
      <w:r>
        <w:t xml:space="preserve"> </w:t>
      </w:r>
      <w:r>
        <w:t xml:space="preserve">Quotation Estimate</w:t>
      </w:r>
      <w:r>
        <w:t xml:space="preserve"> </w:t>
      </w:r>
      <w:r>
        <w:t xml:space="preserve">for the engagement of the</w:t>
      </w:r>
      <w:r>
        <w:t xml:space="preserve"> </w:t>
      </w:r>
      <w:r>
        <w:t xml:space="preserve">Military Officer</w:t>
      </w:r>
      <w:r>
        <w:t xml:space="preserve"> </w:t>
      </w:r>
      <w:r>
        <w:t xml:space="preserve">in</w:t>
      </w:r>
      <w:r>
        <w:t xml:space="preserve"> </w:t>
      </w:r>
      <w:r>
        <w:t xml:space="preserve">New Zealand Wellington</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Strategic Security Advisory – The</w:t>
            </w:r>
            <w:r>
              <w:t xml:space="preserve"> </w:t>
            </w:r>
            <w:r>
              <w:t xml:space="preserve">Military Officer</w:t>
            </w:r>
            <w:r>
              <w:t xml:space="preserve"> </w:t>
            </w:r>
            <w:r>
              <w:t xml:space="preserve">shall provide weekly strategic briefings to the Wellington Regional Security Committee, covering threat assessments, force readiness, and operational recommendations specific to the</w:t>
            </w:r>
            <w:r>
              <w:t xml:space="preserve"> </w:t>
            </w:r>
            <w:r>
              <w:t xml:space="preserve">New Zealand Wellington</w:t>
            </w:r>
            <w:r>
              <w:t xml:space="preserve"> </w:t>
            </w:r>
            <w:r>
              <w:t xml:space="preserve">capital region.</w:t>
            </w:r>
          </w:p>
        </w:tc>
        <w:tc>
          <w:tcPr/>
          <w:p>
            <w:pPr>
              <w:pStyle w:val="Compact"/>
              <w:jc w:val="left"/>
            </w:pPr>
            <w:r>
              <w:t xml:space="preserve">12 months</w:t>
            </w:r>
          </w:p>
        </w:tc>
        <w:tc>
          <w:tcPr/>
          <w:p>
            <w:pPr>
              <w:pStyle w:val="Compact"/>
              <w:jc w:val="left"/>
            </w:pPr>
            <w:r>
              <w:t xml:space="preserve">$18,500 / month</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Inter-Agency Liaison &amp; Coordination – Facilitating communication between the NZDF, New Zealand Police, Civil Defence Emergency Management (CDEM) Wellington, and local territorial authorities. The</w:t>
            </w:r>
            <w:r>
              <w:t xml:space="preserve"> </w:t>
            </w:r>
            <w:r>
              <w:t xml:space="preserve">Military Officer</w:t>
            </w:r>
            <w:r>
              <w:t xml:space="preserve"> </w:t>
            </w:r>
            <w:r>
              <w:t xml:space="preserve">will serve as the primary military point of contact for all defence-related matters in</w:t>
            </w:r>
            <w:r>
              <w:t xml:space="preserve"> </w:t>
            </w:r>
            <w:r>
              <w:t xml:space="preserve">New Zealand Wellington</w:t>
            </w:r>
            <w:r>
              <w:t xml:space="preserve">.</w:t>
            </w:r>
          </w:p>
        </w:tc>
        <w:tc>
          <w:tcPr/>
          <w:p>
            <w:pPr>
              <w:pStyle w:val="Compact"/>
              <w:jc w:val="left"/>
            </w:pPr>
            <w:r>
              <w:t xml:space="preserve">12 months</w:t>
            </w:r>
          </w:p>
        </w:tc>
        <w:tc>
          <w:tcPr/>
          <w:p>
            <w:pPr>
              <w:pStyle w:val="Compact"/>
              <w:jc w:val="left"/>
            </w:pPr>
            <w:r>
              <w:t xml:space="preserve">$12,000 / month</w:t>
            </w:r>
          </w:p>
        </w:tc>
        <w:tc>
          <w:tcPr/>
          <w:p>
            <w:pPr>
              <w:pStyle w:val="Compact"/>
              <w:jc w:val="left"/>
            </w:pPr>
            <w:r>
              <w:t xml:space="preserve">$144,000.00</w:t>
            </w:r>
          </w:p>
        </w:tc>
      </w:tr>
      <w:tr>
        <w:tc>
          <w:tcPr/>
          <w:p>
            <w:pPr>
              <w:pStyle w:val="Compact"/>
              <w:jc w:val="left"/>
            </w:pPr>
            <w:r>
              <w:t xml:space="preserve">3</w:t>
            </w:r>
          </w:p>
        </w:tc>
        <w:tc>
          <w:tcPr/>
          <w:p>
            <w:pPr>
              <w:pStyle w:val="Compact"/>
              <w:jc w:val="left"/>
            </w:pPr>
            <w:r>
              <w:t xml:space="preserve">Emergency Preparedness &amp; Exercise Planning – Designing and leading quarterly full-scale emergency exercises in the Wellington region, including earthquake response, maritime security drills, and civil-military joint operations. This</w:t>
            </w:r>
            <w:r>
              <w:t xml:space="preserve"> </w:t>
            </w:r>
            <w:r>
              <w:t xml:space="preserve">Quotation Estimate</w:t>
            </w:r>
            <w:r>
              <w:t xml:space="preserve"> </w:t>
            </w:r>
            <w:r>
              <w:t xml:space="preserve">includes all planning, after-action review, and reporting components.</w:t>
            </w:r>
          </w:p>
        </w:tc>
        <w:tc>
          <w:tcPr/>
          <w:p>
            <w:pPr>
              <w:pStyle w:val="Compact"/>
              <w:jc w:val="left"/>
            </w:pPr>
            <w:r>
              <w:t xml:space="preserve">12 months (4 exercises)</w:t>
            </w:r>
          </w:p>
        </w:tc>
        <w:tc>
          <w:tcPr/>
          <w:p>
            <w:pPr>
              <w:pStyle w:val="Compact"/>
              <w:jc w:val="left"/>
            </w:pPr>
            <w:r>
              <w:t xml:space="preserve">$8,500 / exercise</w:t>
            </w:r>
          </w:p>
        </w:tc>
        <w:tc>
          <w:tcPr/>
          <w:p>
            <w:pPr>
              <w:pStyle w:val="Compact"/>
              <w:jc w:val="left"/>
            </w:pPr>
            <w:r>
              <w:t xml:space="preserve">$34,000.00</w:t>
            </w:r>
          </w:p>
        </w:tc>
      </w:tr>
      <w:tr>
        <w:tc>
          <w:tcPr/>
          <w:p>
            <w:pPr>
              <w:pStyle w:val="Compact"/>
              <w:jc w:val="left"/>
            </w:pPr>
            <w:r>
              <w:t xml:space="preserve">4</w:t>
            </w:r>
          </w:p>
        </w:tc>
        <w:tc>
          <w:tcPr/>
          <w:p>
            <w:pPr>
              <w:pStyle w:val="Compact"/>
              <w:jc w:val="left"/>
            </w:pPr>
            <w:r>
              <w:t xml:space="preserve">Ceremonial &amp; Protocol Duties – The</w:t>
            </w:r>
            <w:r>
              <w:t xml:space="preserve"> </w:t>
            </w:r>
            <w:r>
              <w:t xml:space="preserve">Military Officer</w:t>
            </w:r>
            <w:r>
              <w:t xml:space="preserve"> </w:t>
            </w:r>
            <w:r>
              <w:t xml:space="preserve">shall represent the defence sector at official functions, state visits, and commemorative events held in</w:t>
            </w:r>
            <w:r>
              <w:t xml:space="preserve"> </w:t>
            </w:r>
            <w:r>
              <w:t xml:space="preserve">New Zealand Wellington</w:t>
            </w:r>
            <w:r>
              <w:t xml:space="preserve">, including Anzac Day, Matariki, and national security conferences.</w:t>
            </w:r>
          </w:p>
        </w:tc>
        <w:tc>
          <w:tcPr/>
          <w:p>
            <w:pPr>
              <w:pStyle w:val="Compact"/>
              <w:jc w:val="left"/>
            </w:pPr>
            <w:r>
              <w:t xml:space="preserve">12 months</w:t>
            </w:r>
          </w:p>
        </w:tc>
        <w:tc>
          <w:tcPr/>
          <w:p>
            <w:pPr>
              <w:pStyle w:val="Compact"/>
              <w:jc w:val="left"/>
            </w:pPr>
            <w:r>
              <w:t xml:space="preserve">$4,200 / month</w:t>
            </w:r>
          </w:p>
        </w:tc>
        <w:tc>
          <w:tcPr/>
          <w:p>
            <w:pPr>
              <w:pStyle w:val="Compact"/>
              <w:jc w:val="left"/>
            </w:pPr>
            <w:r>
              <w:t xml:space="preserve">$50,400.00</w:t>
            </w:r>
          </w:p>
        </w:tc>
      </w:tr>
      <w:tr>
        <w:tc>
          <w:tcPr/>
          <w:p>
            <w:pPr>
              <w:pStyle w:val="Compact"/>
              <w:jc w:val="left"/>
            </w:pPr>
            <w:r>
              <w:t xml:space="preserve">5</w:t>
            </w:r>
          </w:p>
        </w:tc>
        <w:tc>
          <w:tcPr/>
          <w:p>
            <w:pPr>
              <w:pStyle w:val="Compact"/>
              <w:jc w:val="left"/>
            </w:pPr>
            <w:r>
              <w:t xml:space="preserve">Maritime Security Assessment – Quarterly assessments of the Wellington Harbour and surrounding waters, coordinating with the Royal New Zealand Navy and Port of Wellington. This component of the</w:t>
            </w:r>
            <w:r>
              <w:t xml:space="preserve"> </w:t>
            </w:r>
            <w:r>
              <w:t xml:space="preserve">Quotation Estimate</w:t>
            </w:r>
            <w:r>
              <w:t xml:space="preserve"> </w:t>
            </w:r>
            <w:r>
              <w:t xml:space="preserve">addresses the specific maritime vulnerabilities of the</w:t>
            </w:r>
            <w:r>
              <w:t xml:space="preserve"> </w:t>
            </w:r>
            <w:r>
              <w:t xml:space="preserve">New Zealand Wellington</w:t>
            </w:r>
            <w:r>
              <w:t xml:space="preserve"> </w:t>
            </w:r>
            <w:r>
              <w:t xml:space="preserve">harbour basin.</w:t>
            </w:r>
          </w:p>
        </w:tc>
        <w:tc>
          <w:tcPr/>
          <w:p>
            <w:pPr>
              <w:pStyle w:val="Compact"/>
              <w:jc w:val="left"/>
            </w:pPr>
            <w:r>
              <w:t xml:space="preserve">12 months (4 assessments)</w:t>
            </w:r>
          </w:p>
        </w:tc>
        <w:tc>
          <w:tcPr/>
          <w:p>
            <w:pPr>
              <w:pStyle w:val="Compact"/>
              <w:jc w:val="left"/>
            </w:pPr>
            <w:r>
              <w:t xml:space="preserve">$6,800 / assessment</w:t>
            </w:r>
          </w:p>
        </w:tc>
        <w:tc>
          <w:tcPr/>
          <w:p>
            <w:pPr>
              <w:pStyle w:val="Compact"/>
              <w:jc w:val="left"/>
            </w:pPr>
            <w:r>
              <w:t xml:space="preserve">$27,200.00</w:t>
            </w:r>
          </w:p>
        </w:tc>
      </w:tr>
      <w:tr>
        <w:tc>
          <w:tcPr/>
          <w:p>
            <w:pPr>
              <w:pStyle w:val="Compact"/>
              <w:jc w:val="left"/>
            </w:pPr>
            <w:r>
              <w:t xml:space="preserve">6</w:t>
            </w:r>
          </w:p>
        </w:tc>
        <w:tc>
          <w:tcPr/>
          <w:p>
            <w:pPr>
              <w:pStyle w:val="Compact"/>
              <w:jc w:val="left"/>
            </w:pPr>
            <w:r>
              <w:t xml:space="preserve">Training &amp; Development – Delivery of two (2) annual leadership and operational planning workshops for Wellington-based defence and security personnel. The</w:t>
            </w:r>
            <w:r>
              <w:t xml:space="preserve"> </w:t>
            </w:r>
            <w:r>
              <w:t xml:space="preserve">Military Officer</w:t>
            </w:r>
            <w:r>
              <w:t xml:space="preserve"> </w:t>
            </w:r>
            <w:r>
              <w:t xml:space="preserve">will develop and deliver all course materials.</w:t>
            </w:r>
          </w:p>
        </w:tc>
        <w:tc>
          <w:tcPr/>
          <w:p>
            <w:pPr>
              <w:pStyle w:val="Compact"/>
              <w:jc w:val="left"/>
            </w:pPr>
            <w:r>
              <w:t xml:space="preserve">12 months</w:t>
            </w:r>
          </w:p>
        </w:tc>
        <w:tc>
          <w:tcPr/>
          <w:p>
            <w:pPr>
              <w:pStyle w:val="Compact"/>
              <w:jc w:val="left"/>
            </w:pPr>
            <w:r>
              <w:t xml:space="preserve">$9,500 / workshop</w:t>
            </w:r>
          </w:p>
        </w:tc>
        <w:tc>
          <w:tcPr/>
          <w:p>
            <w:pPr>
              <w:pStyle w:val="Compact"/>
              <w:jc w:val="left"/>
            </w:pPr>
            <w:r>
              <w:t xml:space="preserve">$19,000.00</w:t>
            </w:r>
          </w:p>
        </w:tc>
      </w:tr>
      <w:tr>
        <w:tc>
          <w:tcPr/>
          <w:p>
            <w:pPr>
              <w:pStyle w:val="Compact"/>
              <w:jc w:val="left"/>
            </w:pPr>
            <w:r>
              <w:t xml:space="preserve">7</w:t>
            </w:r>
          </w:p>
        </w:tc>
        <w:tc>
          <w:tcPr/>
          <w:p>
            <w:pPr>
              <w:pStyle w:val="Compact"/>
              <w:jc w:val="left"/>
            </w:pPr>
            <w:r>
              <w:t xml:space="preserve">Administrative Support &amp; Reporting – Monthly written reports, after-action documentation, and administrative coordination. All reporting will be formatted in accordance with New Zealand government standards and submitted to the Wellington Regional Security Office.</w:t>
            </w:r>
          </w:p>
        </w:tc>
        <w:tc>
          <w:tcPr/>
          <w:p>
            <w:pPr>
              <w:pStyle w:val="Compact"/>
              <w:jc w:val="left"/>
            </w:pPr>
            <w:r>
              <w:t xml:space="preserve">12 months</w:t>
            </w:r>
          </w:p>
        </w:tc>
        <w:tc>
          <w:tcPr/>
          <w:p>
            <w:pPr>
              <w:pStyle w:val="Compact"/>
              <w:jc w:val="left"/>
            </w:pPr>
            <w:r>
              <w:t xml:space="preserve">$3,200 / month</w:t>
            </w:r>
          </w:p>
        </w:tc>
        <w:tc>
          <w:tcPr/>
          <w:p>
            <w:pPr>
              <w:pStyle w:val="Compact"/>
              <w:jc w:val="left"/>
            </w:pPr>
            <w:r>
              <w:t xml:space="preserve">$38,400.00</w:t>
            </w:r>
          </w:p>
        </w:tc>
      </w:tr>
      <w:tr>
        <w:tc>
          <w:tcPr/>
          <w:p>
            <w:pPr>
              <w:pStyle w:val="Compact"/>
              <w:jc w:val="left"/>
            </w:pPr>
            <w:r>
              <w:t xml:space="preserve">8</w:t>
            </w:r>
          </w:p>
        </w:tc>
        <w:tc>
          <w:tcPr/>
          <w:p>
            <w:pPr>
              <w:pStyle w:val="Compact"/>
              <w:jc w:val="left"/>
            </w:pPr>
            <w:r>
              <w:t xml:space="preserve">Travel &amp; Logistics – Local travel within the</w:t>
            </w:r>
            <w:r>
              <w:t xml:space="preserve"> </w:t>
            </w:r>
            <w:r>
              <w:t xml:space="preserve">New Zealand Wellington</w:t>
            </w:r>
            <w:r>
              <w:t xml:space="preserve"> </w:t>
            </w:r>
            <w:r>
              <w:t xml:space="preserve">region, including travel to the NZDF Wellington base, CDEM offices, and various exercise sites. Includes vehicle hire, fuel, and accommodation for overnight exercise deployments.</w:t>
            </w:r>
          </w:p>
        </w:tc>
        <w:tc>
          <w:tcPr/>
          <w:p>
            <w:pPr>
              <w:pStyle w:val="Compact"/>
              <w:jc w:val="left"/>
            </w:pPr>
            <w:r>
              <w:t xml:space="preserve">12 months</w:t>
            </w:r>
          </w:p>
        </w:tc>
        <w:tc>
          <w:tcPr/>
          <w:p>
            <w:pPr>
              <w:pStyle w:val="Compact"/>
              <w:jc w:val="left"/>
            </w:pPr>
            <w:r>
              <w:t xml:space="preserve">$2,800 / month</w:t>
            </w:r>
          </w:p>
        </w:tc>
        <w:tc>
          <w:tcPr/>
          <w:p>
            <w:pPr>
              <w:pStyle w:val="Compact"/>
              <w:jc w:val="left"/>
            </w:pPr>
            <w:r>
              <w:t xml:space="preserve">$33,600.00</w:t>
            </w:r>
          </w:p>
        </w:tc>
      </w:tr>
    </w:tbl>
    <w:bookmarkEnd w:id="22"/>
    <w:bookmarkStart w:id="23" w:name="financial-summary"/>
    <w:p>
      <w:pPr>
        <w:pStyle w:val="Heading2"/>
      </w:pPr>
      <w:r>
        <w:t xml:space="preserve">3. Financial Summary</w:t>
      </w:r>
    </w:p>
    <w:tbl>
      <w:tblPr>
        <w:tblStyle w:val="Table"/>
        <w:tblW w:type="auto" w:w="0"/>
        <w:tblLook w:firstRow="0" w:lastRow="0" w:firstColumn="0" w:lastColumn="0" w:noHBand="0" w:noVBand="0" w:val="0000"/>
      </w:tblPr>
      <w:tblGrid>
        <w:gridCol w:w="1584"/>
        <w:gridCol w:w="1584"/>
        <w:gridCol w:w="1584"/>
        <w:gridCol w:w="1584"/>
        <w:gridCol w:w="1584"/>
      </w:tblGrid>
      <w:tr>
        <w:tc>
          <w:tcPr>
            <w:gridSpan w:val="4"/>
          </w:tcPr>
          <w:p>
            <w:pPr>
              <w:pStyle w:val="Compact"/>
              <w:jc w:val="left"/>
            </w:pPr>
            <w:r>
              <w:t xml:space="preserve">Subtotal (Items 1–8)</w:t>
            </w:r>
          </w:p>
        </w:tc>
        <w:tc>
          <w:tcPr/>
          <w:p>
            <w:pPr>
              <w:pStyle w:val="Compact"/>
              <w:jc w:val="left"/>
            </w:pPr>
            <w:r>
              <w:t xml:space="preserve">NZD $668,600.00</w:t>
            </w:r>
          </w:p>
        </w:tc>
      </w:tr>
      <w:tr>
        <w:tc>
          <w:tcPr>
            <w:gridSpan w:val="4"/>
          </w:tcPr>
          <w:p>
            <w:pPr>
              <w:pStyle w:val="Compact"/>
              <w:jc w:val="left"/>
            </w:pPr>
            <w:r>
              <w:t xml:space="preserve">Goods and Services Tax (GST) at 15%</w:t>
            </w:r>
          </w:p>
        </w:tc>
        <w:tc>
          <w:tcPr/>
          <w:p>
            <w:pPr>
              <w:pStyle w:val="Compact"/>
              <w:jc w:val="left"/>
            </w:pPr>
            <w:r>
              <w:t xml:space="preserve">NZD $100,290.00</w:t>
            </w:r>
          </w:p>
        </w:tc>
      </w:tr>
      <w:tr>
        <w:tc>
          <w:tcPr>
            <w:gridSpan w:val="4"/>
          </w:tcPr>
          <w:p>
            <w:pPr>
              <w:pStyle w:val="Compact"/>
              <w:jc w:val="left"/>
            </w:pPr>
            <w:r>
              <w:t xml:space="preserve">TOTAL QUOTATION ESTIMATE (Inclusive of GST)</w:t>
            </w:r>
          </w:p>
        </w:tc>
        <w:tc>
          <w:tcPr/>
          <w:p>
            <w:pPr>
              <w:pStyle w:val="Compact"/>
              <w:jc w:val="left"/>
            </w:pPr>
            <w:r>
              <w:t xml:space="preserve">NZD $768,890.00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a period of ninety (90) days from the date of issue. After this period, all rates and terms are subject to review and potential adjustment.</w:t>
      </w:r>
    </w:p>
    <w:p>
      <w:pPr>
        <w:numPr>
          <w:ilvl w:val="0"/>
          <w:numId w:val="1001"/>
        </w:numPr>
        <w:pStyle w:val="Compact"/>
      </w:pPr>
      <w:r>
        <w:rPr>
          <w:bCs/>
          <w:b/>
        </w:rPr>
        <w:t xml:space="preserve">Payment Terms:</w:t>
      </w:r>
      <w:r>
        <w:t xml:space="preserve"> </w:t>
      </w:r>
      <w:r>
        <w:t xml:space="preserve">Payment shall be made on a monthly basis within thirty (30) days of invoice receipt. Invoices will be issued on the first business day of each month for services rendered in the preceding month.</w:t>
      </w:r>
    </w:p>
    <w:p>
      <w:pPr>
        <w:numPr>
          <w:ilvl w:val="0"/>
          <w:numId w:val="1001"/>
        </w:numPr>
        <w:pStyle w:val="Compact"/>
      </w:pPr>
      <w:r>
        <w:rPr>
          <w:bCs/>
          <w:b/>
        </w:rPr>
        <w:t xml:space="preserve">Security Clearance:</w:t>
      </w:r>
      <w:r>
        <w:t xml:space="preserve"> </w:t>
      </w:r>
      <w:r>
        <w:t xml:space="preserve">The</w:t>
      </w:r>
    </w:p>
    <w:p>
      <w:pPr>
        <w:numPr>
          <w:ilvl w:val="0"/>
          <w:numId w:val="1000"/>
        </w:numPr>
        <w:pStyle w:val="Compact"/>
      </w:pPr>
      <w:r>
        <w:t xml:space="preserve">Military Officer engaged under this</w:t>
      </w:r>
      <w:r>
        <w:t xml:space="preserve"> </w:t>
      </w:r>
      <w:r>
        <w:t xml:space="preserve">Quotation Estimate</w:t>
      </w:r>
      <w:r>
        <w:t xml:space="preserve"> </w:t>
      </w:r>
      <w:r>
        <w:t xml:space="preserve">holds a current New Zealand Security Clearance at the Top Secret (TS) level, as required for access to all defence facilities in</w:t>
      </w:r>
      <w:r>
        <w:t xml:space="preserve"> </w:t>
      </w:r>
      <w:r>
        <w:t xml:space="preserve">New Zealand Wellington</w:t>
      </w:r>
      <w:r>
        <w:t xml:space="preserve">.</w:t>
      </w:r>
    </w:p>
    <w:p>
      <w:pPr>
        <w:numPr>
          <w:ilvl w:val="0"/>
          <w:numId w:val="1001"/>
        </w:numPr>
        <w:pStyle w:val="Compact"/>
      </w:pPr>
      <w:r>
        <w:rPr>
          <w:bCs/>
          <w:b/>
        </w:rPr>
        <w:t xml:space="preserve">Confidentiality:</w:t>
      </w:r>
      <w:r>
        <w:t xml:space="preserve"> </w:t>
      </w:r>
      <w:r>
        <w:t xml:space="preserve">All information, documents, and operational details shared during the course of this engagement are classified and shall be handled in accordance with the New Zealand Official Secrets Act 1952 and NZDF security protocols.</w:t>
      </w:r>
    </w:p>
    <w:p>
      <w:pPr>
        <w:numPr>
          <w:ilvl w:val="0"/>
          <w:numId w:val="1001"/>
        </w:numPr>
        <w:pStyle w:val="Compact"/>
      </w:pPr>
      <w:r>
        <w:rPr>
          <w:bCs/>
          <w:b/>
        </w:rPr>
        <w:t xml:space="preserve">Termination:</w:t>
      </w:r>
      <w:r>
        <w:t xml:space="preserve"> </w:t>
      </w:r>
      <w:r>
        <w:t xml:space="preserve">Either party may terminate this engagement with sixty (60) days written notice. In the event of early termination, a pro-rata payment for services rendered up to the termination date shall be due.</w:t>
      </w:r>
    </w:p>
    <w:p>
      <w:pPr>
        <w:numPr>
          <w:ilvl w:val="0"/>
          <w:numId w:val="1001"/>
        </w:numPr>
        <w:pStyle w:val="Compact"/>
      </w:pPr>
      <w:r>
        <w:rPr>
          <w:bCs/>
          <w:b/>
        </w:rPr>
        <w:t xml:space="preserve">Compliance:</w:t>
      </w:r>
      <w:r>
        <w:t xml:space="preserve"> </w:t>
      </w:r>
      <w:r>
        <w:t xml:space="preserve">The</w:t>
      </w:r>
      <w:r>
        <w:t xml:space="preserve"> </w:t>
      </w:r>
      <w:r>
        <w:t xml:space="preserve">Military Officer</w:t>
      </w:r>
      <w:r>
        <w:t xml:space="preserve"> </w:t>
      </w:r>
      <w:r>
        <w:t xml:space="preserve">shall comply with all applicable New Zealand legislation, including the Defence Act 1990, the Public Finance Act 1989, and all local bylaws of the Wellington City Council.</w:t>
      </w:r>
    </w:p>
    <w:p>
      <w:pPr>
        <w:numPr>
          <w:ilvl w:val="0"/>
          <w:numId w:val="1001"/>
        </w:numPr>
        <w:pStyle w:val="Compact"/>
      </w:pPr>
      <w:r>
        <w:rPr>
          <w:bCs/>
          <w:b/>
        </w:rPr>
        <w:t xml:space="preserve">Insurance:</w:t>
      </w:r>
      <w:r>
        <w:t xml:space="preserve"> </w:t>
      </w:r>
      <w:r>
        <w:t xml:space="preserve">The service provider maintains comprehensive public liability insurance of not less than NZD $20,000,000, valid throughout the</w:t>
      </w:r>
      <w:r>
        <w:t xml:space="preserve"> </w:t>
      </w:r>
      <w:r>
        <w:t xml:space="preserve">New Zealand Wellington</w:t>
      </w:r>
      <w:r>
        <w:t xml:space="preserve"> </w:t>
      </w:r>
      <w:r>
        <w:t xml:space="preserve">region and all exercise locations.</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Quotation Estimate</w:t>
      </w:r>
      <w:r>
        <w:t xml:space="preserve"> </w:t>
      </w:r>
      <w:r>
        <w:t xml:space="preserve">shall be resolved through mediation in accordance with the New Zealand Disputes Tribunal Act 1945, with jurisdiction in Wellington.</w:t>
      </w:r>
    </w:p>
    <w:p>
      <w:pPr>
        <w:numPr>
          <w:ilvl w:val="0"/>
          <w:numId w:val="1001"/>
        </w:numPr>
        <w:pStyle w:val="Compact"/>
      </w:pPr>
      <w:r>
        <w:rPr>
          <w:bCs/>
          <w:b/>
        </w:rPr>
        <w:t xml:space="preserve">Force Majeure:</w:t>
      </w:r>
      <w:r>
        <w:t xml:space="preserve"> </w:t>
      </w:r>
      <w:r>
        <w:t xml:space="preserve">Neither party shall be liable for failure to perform obligations due to natural disasters (including earthquakes, tsunamis, or volcanic activity), acts of war, or government-imposed restrictions affecting operations in</w:t>
      </w:r>
      <w:r>
        <w:t xml:space="preserve"> </w:t>
      </w:r>
      <w:r>
        <w:t xml:space="preserve">New Zealand Wellington</w:t>
      </w:r>
      <w:r>
        <w:t xml:space="preserve">.</w:t>
      </w:r>
    </w:p>
    <w:bookmarkEnd w:id="24"/>
    <w:bookmarkStart w:id="25" w:name="acceptance"/>
    <w:p>
      <w:pPr>
        <w:pStyle w:val="Heading2"/>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 engagement of the</w:t>
      </w:r>
      <w:r>
        <w:t xml:space="preserve"> </w:t>
      </w:r>
      <w:r>
        <w:t xml:space="preserve">Military Officer</w:t>
      </w:r>
      <w:r>
        <w:t xml:space="preserve"> </w:t>
      </w:r>
      <w:r>
        <w:t xml:space="preserve">in</w:t>
      </w:r>
      <w:r>
        <w:t xml:space="preserve"> </w:t>
      </w:r>
      <w:r>
        <w:t xml:space="preserve">New Zealand Wellington</w:t>
      </w:r>
      <w:r>
        <w:t xml:space="preserve">. This document constitutes a binding agreement upon countersignature by both parties.</w:t>
      </w:r>
    </w:p>
    <w:p>
      <w:pPr>
        <w:pStyle w:val="BodyText"/>
      </w:pPr>
      <w:r>
        <w:rPr>
          <w:bCs/>
          <w:b/>
        </w:rPr>
        <w:t xml:space="preserve">For and on behalf of the Service Provider:</w:t>
      </w:r>
    </w:p>
    <w:p>
      <w:pPr>
        <w:pStyle w:val="BodyText"/>
      </w:pPr>
      <w:r>
        <w:t xml:space="preserve">Defence Personnel Advisory Group</w:t>
      </w:r>
    </w:p>
    <w:p>
      <w:pPr>
        <w:pStyle w:val="BodyText"/>
      </w:pPr>
      <w:r>
        <w:t xml:space="preserve">Name: Col. (Ret.) A. Whitmore</w:t>
      </w:r>
      <w:r>
        <w:br/>
      </w:r>
      <w:r>
        <w:t xml:space="preserve">Title: Director, Defence Personnel Advisory Group</w:t>
      </w:r>
      <w:r>
        <w:br/>
      </w:r>
      <w:r>
        <w:t xml:space="preserve">Signature: _________________________</w:t>
      </w:r>
      <w:r>
        <w:br/>
      </w:r>
      <w:r>
        <w:t xml:space="preserve">Date: _________________________</w:t>
      </w:r>
    </w:p>
    <w:p>
      <w:pPr>
        <w:pStyle w:val="BodyText"/>
      </w:pPr>
      <w:r>
        <w:rPr>
          <w:bCs/>
          <w:b/>
        </w:rPr>
        <w:t xml:space="preserve">For and on behalf of the Client:</w:t>
      </w:r>
    </w:p>
    <w:p>
      <w:pPr>
        <w:pStyle w:val="BodyText"/>
      </w:pPr>
      <w:r>
        <w:t xml:space="preserve">Wellington Regional Security &amp; Defence Coordination Office</w:t>
      </w:r>
    </w:p>
    <w:p>
      <w:pPr>
        <w:pStyle w:val="BodyText"/>
      </w:pPr>
      <w:r>
        <w:t xml:space="preserve">Name: Mr. R. Tainui</w:t>
      </w:r>
      <w:r>
        <w:br/>
      </w:r>
      <w:r>
        <w:t xml:space="preserve">Title: Senior Procurement Officer</w:t>
      </w:r>
      <w:r>
        <w:br/>
      </w:r>
      <w:r>
        <w:t xml:space="preserve">Signature: _________________________</w:t>
      </w:r>
      <w:r>
        <w:br/>
      </w:r>
      <w:r>
        <w:t xml:space="preserve">Date: _________________________</w:t>
      </w:r>
    </w:p>
    <w:p>
      <w:pPr>
        <w:pStyle w:val="BodyText"/>
      </w:pPr>
      <w:r>
        <w:t xml:space="preserve">Quotation Estimate No. QTE-WLG-2025-0487 | Defence Personnel Advisory Group | Wellington, New Zealand</w:t>
      </w:r>
    </w:p>
    <w:p>
      <w:pPr>
        <w:pStyle w:val="BodyText"/>
      </w:pPr>
      <w:r>
        <w:t xml:space="preserve">This document is the property of the issuing organisation and is intended solely for the named recipient. Unauthorised reproduction or distribution is prohibited under New Zealand law.</w:t>
      </w:r>
    </w:p>
    <w:p>
      <w:pPr>
        <w:pStyle w:val="BodyText"/>
      </w:pPr>
      <w:r>
        <w:t xml:space="preserve">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New Zealand Wellington</dc:title>
  <dc:creator/>
  <dc:language>en</dc:language>
  <cp:keywords/>
  <dcterms:created xsi:type="dcterms:W3CDTF">2026-10-10T07:25:03Z</dcterms:created>
  <dcterms:modified xsi:type="dcterms:W3CDTF">2026-10-10T07:25:03Z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