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Peru</w:t>
      </w:r>
      <w:r>
        <w:t xml:space="preserve"> </w:t>
      </w:r>
      <w:r>
        <w:t xml:space="preserve">Lima</w:t>
      </w:r>
    </w:p>
    <w:bookmarkStart w:id="21" w:name="quotation-estimate"/>
    <w:p>
      <w:pPr>
        <w:pStyle w:val="Heading1"/>
      </w:pPr>
      <w:r>
        <w:t xml:space="preserve">QUOTATION ESTIMATE</w:t>
      </w:r>
    </w:p>
    <w:bookmarkStart w:id="20" w:name="Xbdafa0baa8800f97bb3407a2380130ae49245e3"/>
    <w:p>
      <w:pPr>
        <w:pStyle w:val="Heading2"/>
      </w:pPr>
      <w:r>
        <w:t xml:space="preserve">Professional Military Officer Services — Peru Lima</w:t>
      </w:r>
    </w:p>
    <w:p>
      <w:pPr>
        <w:pStyle w:val="FirstParagraph"/>
      </w:pPr>
      <w:r>
        <w:t xml:space="preserve">Document Reference: QE-ML-2025-0047 | Classification: Commercial</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QE-ML-2025-0047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Peruvian Sol (PEN) / US Dollar (USD)</w:t>
            </w:r>
          </w:p>
        </w:tc>
      </w:tr>
      <w:tr>
        <w:tc>
          <w:tcPr/>
          <w:p>
            <w:pPr>
              <w:pStyle w:val="Compact"/>
              <w:jc w:val="left"/>
            </w:pPr>
            <w:r>
              <w:t xml:space="preserve">Service Location:</w:t>
            </w:r>
          </w:p>
        </w:tc>
        <w:tc>
          <w:tcPr>
            <w:gridSpan w:val="3"/>
          </w:tcPr>
          <w:p>
            <w:pPr>
              <w:pStyle w:val="Compact"/>
              <w:jc w:val="left"/>
            </w:pPr>
            <w:r>
              <w:t xml:space="preserve">Lima, Peru — Metropolitan District and surrounding provinces as specified</w:t>
            </w:r>
          </w:p>
        </w:tc>
      </w:tr>
      <w:tr>
        <w:tc>
          <w:tcPr/>
          <w:p>
            <w:pPr>
              <w:pStyle w:val="Compact"/>
              <w:jc w:val="left"/>
            </w:pPr>
            <w:r>
              <w:t xml:space="preserve">Prepared By:</w:t>
            </w:r>
          </w:p>
        </w:tc>
        <w:tc>
          <w:tcPr/>
          <w:p>
            <w:pPr>
              <w:pStyle w:val="Compact"/>
              <w:jc w:val="left"/>
            </w:pPr>
            <w:r>
              <w:t xml:space="preserve">Office of Professional Services, Lima Branch</w:t>
            </w:r>
          </w:p>
        </w:tc>
        <w:tc>
          <w:tcPr/>
          <w:p>
            <w:pPr>
              <w:pStyle w:val="Compact"/>
              <w:jc w:val="left"/>
            </w:pPr>
            <w:r>
              <w:t xml:space="preserve">Contact:</w:t>
            </w:r>
          </w:p>
        </w:tc>
        <w:tc>
          <w:tcPr/>
          <w:p>
            <w:pPr>
              <w:pStyle w:val="Compact"/>
              <w:jc w:val="left"/>
            </w:pPr>
            <w:r>
              <w:t xml:space="preserve">services.lima@milofficercorp.com</w:t>
            </w:r>
          </w:p>
        </w:tc>
      </w:tr>
    </w:tbl>
    <w:bookmarkStart w:id="22" w:name="client-information"/>
    <w:p>
      <w:pPr>
        <w:pStyle w:val="Heading3"/>
      </w:pPr>
      <w:r>
        <w:t xml:space="preserve">1. Client Information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Client Name:</w:t>
            </w:r>
          </w:p>
        </w:tc>
        <w:tc>
          <w:tcPr/>
          <w:p>
            <w:pPr>
              <w:pStyle w:val="Compact"/>
              <w:jc w:val="left"/>
            </w:pPr>
            <w:r>
              <w:t xml:space="preserve">[Client Organization Name]</w:t>
            </w:r>
          </w:p>
        </w:tc>
        <w:tc>
          <w:tcPr/>
          <w:p>
            <w:pPr>
              <w:pStyle w:val="Compact"/>
              <w:jc w:val="left"/>
            </w:pPr>
            <w:r>
              <w:t xml:space="preserve">RUC / Tax ID:</w:t>
            </w:r>
          </w:p>
        </w:tc>
        <w:tc>
          <w:tcPr/>
          <w:p>
            <w:pPr>
              <w:pStyle w:val="Compact"/>
              <w:jc w:val="left"/>
            </w:pPr>
            <w:r>
              <w:t xml:space="preserve">[XXXXXXXXX]</w:t>
            </w:r>
          </w:p>
        </w:tc>
      </w:tr>
      <w:tr>
        <w:tc>
          <w:tcPr/>
          <w:p>
            <w:pPr>
              <w:pStyle w:val="Compact"/>
              <w:jc w:val="left"/>
            </w:pPr>
            <w:r>
              <w:t xml:space="preserve">Address:</w:t>
            </w:r>
          </w:p>
        </w:tc>
        <w:tc>
          <w:tcPr>
            <w:gridSpan w:val="3"/>
          </w:tcPr>
          <w:p>
            <w:pPr>
              <w:pStyle w:val="Compact"/>
              <w:jc w:val="left"/>
            </w:pPr>
            <w:r>
              <w:t xml:space="preserve">[Street, District], Lima, Peru</w:t>
            </w:r>
          </w:p>
        </w:tc>
      </w:tr>
      <w:tr>
        <w:tc>
          <w:tcPr/>
          <w:p>
            <w:pPr>
              <w:pStyle w:val="Compact"/>
              <w:jc w:val="left"/>
            </w:pPr>
            <w:r>
              <w:t xml:space="preserve">Authorized Representative:</w:t>
            </w:r>
          </w:p>
        </w:tc>
        <w:tc>
          <w:tcPr/>
          <w:p>
            <w:pPr>
              <w:pStyle w:val="Compact"/>
              <w:jc w:val="left"/>
            </w:pPr>
            <w:r>
              <w:t xml:space="preserve">[Full Name, Title]</w:t>
            </w:r>
          </w:p>
        </w:tc>
        <w:tc>
          <w:tcPr/>
          <w:p>
            <w:pPr>
              <w:pStyle w:val="Compact"/>
              <w:jc w:val="left"/>
            </w:pPr>
            <w:r>
              <w:t xml:space="preserve">Phone:</w:t>
            </w:r>
          </w:p>
        </w:tc>
        <w:tc>
          <w:tcPr/>
          <w:p>
            <w:pPr>
              <w:pStyle w:val="Compact"/>
              <w:jc w:val="left"/>
            </w:pPr>
            <w:r>
              <w:t xml:space="preserve">[+51 XXX XXX XXX]</w:t>
            </w:r>
          </w:p>
        </w:tc>
      </w:tr>
    </w:tbl>
    <w:bookmarkEnd w:id="22"/>
    <w:bookmarkStart w:id="23" w:name="X458709a7798dd38849f4ddedca1b5d8400f1b44"/>
    <w:p>
      <w:pPr>
        <w:pStyle w:val="Heading3"/>
      </w:pPr>
      <w:r>
        <w:t xml:space="preserve">2. Scope of Services — Military Officer Deployment in Peru Lima</w:t>
      </w:r>
    </w:p>
    <w:p>
      <w:pPr>
        <w:pStyle w:val="FirstParagraph"/>
      </w:pPr>
      <w:r>
        <w:t xml:space="preserve">This</w:t>
      </w:r>
      <w:r>
        <w:t xml:space="preserve"> </w:t>
      </w:r>
      <w:r>
        <w:t xml:space="preserve">Quotation Estimate</w:t>
      </w:r>
      <w:r>
        <w:t xml:space="preserve"> </w:t>
      </w:r>
      <w:r>
        <w:t xml:space="preserve">is issued in response to the formal request submitted by the Client for the professional engagement of a</w:t>
      </w:r>
      <w:r>
        <w:t xml:space="preserve"> </w:t>
      </w:r>
      <w:r>
        <w:t xml:space="preserve">Military Officer</w:t>
      </w:r>
      <w:r>
        <w:t xml:space="preserve"> </w:t>
      </w:r>
      <w:r>
        <w:t xml:space="preserve">to provide specialized security, operational planning, and institutional advisory services within the jurisdiction of</w:t>
      </w:r>
      <w:r>
        <w:t xml:space="preserve"> </w:t>
      </w:r>
      <w:r>
        <w:t xml:space="preserve">Peru Lima</w:t>
      </w:r>
      <w:r>
        <w:t xml:space="preserve">. The Military Officer to be deployed holds a minimum rank of Lieutenant Colonel (or equivalent), possesses a minimum of fifteen (15) years of active and reserve service experience, and is fully authorized to operate under the regulatory framework established by the Peruvian Ministry of Defense and the applicable municipal ordinances of the Lima Metropolitan Government.</w:t>
      </w:r>
    </w:p>
    <w:p>
      <w:pPr>
        <w:pStyle w:val="BodyText"/>
      </w:pPr>
      <w:r>
        <w:t xml:space="preserve">The services described herein are tailored to the unique operational environment of Peru Lima, taking into account the metropolitan security landscape, the geographic and infrastructural characteristics of the Lima region, and the specific institutional requirements of the Client. All operational activities will be conducted in strict compliance with Peruvian national law, including but not limited to the Constitution of the Republic of Peru, the Military Service Law (Ley del Servicio Militar), and the regulations governing private security and corporate advisory operations in the Lima metropolitan area.</w:t>
      </w:r>
    </w:p>
    <w:bookmarkEnd w:id="23"/>
    <w:bookmarkStart w:id="24" w:name="Xdc3ff00606aca6472857d49f8866f68b279dd12"/>
    <w:p>
      <w:pPr>
        <w:pStyle w:val="Heading3"/>
      </w:pPr>
      <w:r>
        <w:t xml:space="preserve">3.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(PEN)</w:t>
            </w:r>
          </w:p>
        </w:tc>
        <w:tc>
          <w:tcPr/>
          <w:p>
            <w:pPr>
              <w:pStyle w:val="Compact"/>
              <w:jc w:val="left"/>
            </w:pPr>
            <w:r>
              <w:t xml:space="preserve">Unit Rate (USD)</w:t>
            </w:r>
          </w:p>
        </w:tc>
        <w:tc>
          <w:tcPr/>
          <w:p>
            <w:pPr>
              <w:pStyle w:val="Compact"/>
              <w:jc w:val="left"/>
            </w:pPr>
            <w:r>
              <w:t xml:space="preserve">Total (PEN)</w:t>
            </w:r>
          </w:p>
        </w:tc>
      </w:tr>
      <w:tr>
        <w:tc>
          <w:tcPr/>
          <w:p>
            <w:pPr>
              <w:pStyle w:val="Compact"/>
              <w:jc w:val="left"/>
            </w:pPr>
            <w:r>
              <w:t xml:space="preserve">1</w:t>
            </w:r>
          </w:p>
        </w:tc>
        <w:tc>
          <w:tcPr/>
          <w:p>
            <w:pPr>
              <w:pStyle w:val="Compact"/>
              <w:jc w:val="left"/>
            </w:pPr>
            <w:r>
              <w:t xml:space="preserve">Deployment and onboarding of Military Officer at Client premises in Lima, Peru. Includes initial site assessment, threat evaluation of the operational zone, and integration with existing security protocols.</w:t>
            </w:r>
          </w:p>
        </w:tc>
        <w:tc>
          <w:tcPr/>
          <w:p>
            <w:pPr>
              <w:pStyle w:val="Compact"/>
              <w:jc w:val="left"/>
            </w:pPr>
            <w:r>
              <w:t xml:space="preserve">5 days</w:t>
            </w:r>
          </w:p>
        </w:tc>
        <w:tc>
          <w:tcPr/>
          <w:p>
            <w:pPr>
              <w:pStyle w:val="Compact"/>
              <w:jc w:val="left"/>
            </w:pPr>
            <w:r>
              <w:t xml:space="preserve">3,500.00</w:t>
            </w:r>
          </w:p>
        </w:tc>
        <w:tc>
          <w:tcPr/>
          <w:p>
            <w:pPr>
              <w:pStyle w:val="Compact"/>
              <w:jc w:val="left"/>
            </w:pPr>
            <w:r>
              <w:t xml:space="preserve">1,050.00</w:t>
            </w:r>
          </w:p>
        </w:tc>
        <w:tc>
          <w:tcPr/>
          <w:p>
            <w:pPr>
              <w:pStyle w:val="Compact"/>
              <w:jc w:val="left"/>
            </w:pPr>
            <w:r>
              <w:t xml:space="preserve">17,500.00</w:t>
            </w:r>
          </w:p>
        </w:tc>
      </w:tr>
      <w:tr>
        <w:tc>
          <w:tcPr/>
          <w:p>
            <w:pPr>
              <w:pStyle w:val="Compact"/>
              <w:jc w:val="left"/>
            </w:pPr>
            <w:r>
              <w:t xml:space="preserve">2</w:t>
            </w:r>
          </w:p>
        </w:tc>
        <w:tc>
          <w:tcPr/>
          <w:p>
            <w:pPr>
              <w:pStyle w:val="Compact"/>
              <w:jc w:val="left"/>
            </w:pPr>
            <w:r>
              <w:t xml:space="preserve">Continuous operational command and security oversight by the Military Officer at the Client's primary facility in the Lima metropolitan area. Includes 24/7 availability during the contract period, patrol coordination, and incident response management.</w:t>
            </w:r>
          </w:p>
        </w:tc>
        <w:tc>
          <w:tcPr/>
          <w:p>
            <w:pPr>
              <w:pStyle w:val="Compact"/>
              <w:jc w:val="left"/>
            </w:pPr>
            <w:r>
              <w:t xml:space="preserve">90 days</w:t>
            </w:r>
          </w:p>
        </w:tc>
        <w:tc>
          <w:tcPr/>
          <w:p>
            <w:pPr>
              <w:pStyle w:val="Compact"/>
              <w:jc w:val="left"/>
            </w:pPr>
            <w:r>
              <w:t xml:space="preserve">8,200.00</w:t>
            </w:r>
          </w:p>
        </w:tc>
        <w:tc>
          <w:tcPr/>
          <w:p>
            <w:pPr>
              <w:pStyle w:val="Compact"/>
              <w:jc w:val="left"/>
            </w:pPr>
            <w:r>
              <w:t xml:space="preserve">2,460.00</w:t>
            </w:r>
          </w:p>
        </w:tc>
        <w:tc>
          <w:tcPr/>
          <w:p>
            <w:pPr>
              <w:pStyle w:val="Compact"/>
              <w:jc w:val="left"/>
            </w:pPr>
            <w:r>
              <w:t xml:space="preserve">738,000.00</w:t>
            </w:r>
          </w:p>
        </w:tc>
      </w:tr>
      <w:tr>
        <w:tc>
          <w:tcPr/>
          <w:p>
            <w:pPr>
              <w:pStyle w:val="Compact"/>
              <w:jc w:val="left"/>
            </w:pPr>
            <w:r>
              <w:t xml:space="preserve">3</w:t>
            </w:r>
          </w:p>
        </w:tc>
        <w:tc>
          <w:tcPr/>
          <w:p>
            <w:pPr>
              <w:pStyle w:val="Compact"/>
              <w:jc w:val="left"/>
            </w:pPr>
            <w:r>
              <w:t xml:space="preserve">Development and implementation of a comprehensive security and emergency response plan specific to the Peru Lima operational environment. Includes risk mapping of the Lima district, evacuation route planning, and coordination protocols with local authorities (Policía Nacional del Perú, Municipalidad Metropolitana de Lima).</w:t>
            </w:r>
          </w:p>
        </w:tc>
        <w:tc>
          <w:tcPr/>
          <w:p>
            <w:pPr>
              <w:pStyle w:val="Compact"/>
              <w:jc w:val="left"/>
            </w:pPr>
            <w:r>
              <w:t xml:space="preserve">15 days</w:t>
            </w:r>
          </w:p>
        </w:tc>
        <w:tc>
          <w:tcPr/>
          <w:p>
            <w:pPr>
              <w:pStyle w:val="Compact"/>
              <w:jc w:val="left"/>
            </w:pPr>
            <w:r>
              <w:t xml:space="preserve">5,800.00</w:t>
            </w:r>
          </w:p>
        </w:tc>
        <w:tc>
          <w:tcPr/>
          <w:p>
            <w:pPr>
              <w:pStyle w:val="Compact"/>
              <w:jc w:val="left"/>
            </w:pPr>
            <w:r>
              <w:t xml:space="preserve">1,740.00</w:t>
            </w:r>
          </w:p>
        </w:tc>
        <w:tc>
          <w:tcPr/>
          <w:p>
            <w:pPr>
              <w:pStyle w:val="Compact"/>
              <w:jc w:val="left"/>
            </w:pPr>
            <w:r>
              <w:t xml:space="preserve">87,000.00</w:t>
            </w:r>
          </w:p>
        </w:tc>
      </w:tr>
      <w:tr>
        <w:tc>
          <w:tcPr/>
          <w:p>
            <w:pPr>
              <w:pStyle w:val="Compact"/>
              <w:jc w:val="left"/>
            </w:pPr>
            <w:r>
              <w:t xml:space="preserve">4</w:t>
            </w:r>
          </w:p>
        </w:tc>
        <w:tc>
          <w:tcPr/>
          <w:p>
            <w:pPr>
              <w:pStyle w:val="Compact"/>
              <w:jc w:val="left"/>
            </w:pPr>
            <w:r>
              <w:t xml:space="preserve">Training and capacity-building sessions for Client personnel. The Military Officer will conduct weekly workshops on security awareness, crisis management, chain-of-command procedures, and emergency response drills at the Client's training facility in Lima.</w:t>
            </w:r>
          </w:p>
        </w:tc>
        <w:tc>
          <w:tcPr/>
          <w:p>
            <w:pPr>
              <w:pStyle w:val="Compact"/>
              <w:jc w:val="left"/>
            </w:pPr>
            <w:r>
              <w:t xml:space="preserve">90 days</w:t>
            </w:r>
          </w:p>
        </w:tc>
        <w:tc>
          <w:tcPr/>
          <w:p>
            <w:pPr>
              <w:pStyle w:val="Compact"/>
              <w:jc w:val="left"/>
            </w:pPr>
            <w:r>
              <w:t xml:space="preserve">4,500.00</w:t>
            </w:r>
          </w:p>
        </w:tc>
        <w:tc>
          <w:tcPr/>
          <w:p>
            <w:pPr>
              <w:pStyle w:val="Compact"/>
              <w:jc w:val="left"/>
            </w:pPr>
            <w:r>
              <w:t xml:space="preserve">1,350.00</w:t>
            </w:r>
          </w:p>
        </w:tc>
        <w:tc>
          <w:tcPr/>
          <w:p>
            <w:pPr>
              <w:pStyle w:val="Compact"/>
              <w:jc w:val="left"/>
            </w:pPr>
            <w:r>
              <w:t xml:space="preserve">405,000.00</w:t>
            </w:r>
          </w:p>
        </w:tc>
      </w:tr>
      <w:tr>
        <w:tc>
          <w:tcPr/>
          <w:p>
            <w:pPr>
              <w:pStyle w:val="Compact"/>
              <w:jc w:val="left"/>
            </w:pPr>
            <w:r>
              <w:t xml:space="preserve">5</w:t>
            </w:r>
          </w:p>
        </w:tc>
        <w:tc>
          <w:tcPr/>
          <w:p>
            <w:pPr>
              <w:pStyle w:val="Compact"/>
              <w:jc w:val="left"/>
            </w:pPr>
            <w:r>
              <w:t xml:space="preserve">Monthly operational reporting and strategic advisory sessions. The Military Officer will prepare detailed after-action reports, threat assessments, and strategic recommendations presented to the Client's executive board in Lima.</w:t>
            </w:r>
          </w:p>
        </w:tc>
        <w:tc>
          <w:tcPr/>
          <w:p>
            <w:pPr>
              <w:pStyle w:val="Compact"/>
              <w:jc w:val="left"/>
            </w:pPr>
            <w:r>
              <w:t xml:space="preserve">3 months</w:t>
            </w:r>
          </w:p>
        </w:tc>
        <w:tc>
          <w:tcPr/>
          <w:p>
            <w:pPr>
              <w:pStyle w:val="Compact"/>
              <w:jc w:val="left"/>
            </w:pPr>
            <w:r>
              <w:t xml:space="preserve">6,000.00</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Logistical support and administrative coordination. Includes transportation within Lima, communication equipment provisioning, and liaison with relevant Peruvian governmental bodies for permits and regulatory compliance.</w:t>
            </w:r>
          </w:p>
        </w:tc>
        <w:tc>
          <w:tcPr/>
          <w:p>
            <w:pPr>
              <w:pStyle w:val="Compact"/>
              <w:jc w:val="left"/>
            </w:pPr>
            <w:r>
              <w:t xml:space="preserve">90 days</w:t>
            </w:r>
          </w:p>
        </w:tc>
        <w:tc>
          <w:tcPr/>
          <w:p>
            <w:pPr>
              <w:pStyle w:val="Compact"/>
              <w:jc w:val="left"/>
            </w:pPr>
            <w:r>
              <w:t xml:space="preserve">2,800.00</w:t>
            </w:r>
          </w:p>
        </w:tc>
        <w:tc>
          <w:tcPr/>
          <w:p>
            <w:pPr>
              <w:pStyle w:val="Compact"/>
              <w:jc w:val="left"/>
            </w:pPr>
            <w:r>
              <w:t xml:space="preserve">840.00</w:t>
            </w:r>
          </w:p>
        </w:tc>
        <w:tc>
          <w:tcPr/>
          <w:p>
            <w:pPr>
              <w:pStyle w:val="Compact"/>
              <w:jc w:val="left"/>
            </w:pPr>
            <w:r>
              <w:t xml:space="preserve">252,000.00</w:t>
            </w:r>
          </w:p>
        </w:tc>
      </w:tr>
      <w:tr>
        <w:tc>
          <w:tcPr>
            <w:gridSpan w:val="5"/>
          </w:tcPr>
          <w:p>
            <w:pPr>
              <w:pStyle w:val="Compact"/>
              <w:jc w:val="right"/>
            </w:pPr>
            <w:r>
              <w:t xml:space="preserve">SUBTOTAL:</w:t>
            </w:r>
          </w:p>
        </w:tc>
        <w:tc>
          <w:tcPr/>
          <w:p>
            <w:pPr>
              <w:pStyle w:val="Compact"/>
              <w:jc w:val="left"/>
            </w:pPr>
            <w:r>
              <w:t xml:space="preserve">1,617,500.00</w:t>
            </w:r>
          </w:p>
        </w:tc>
      </w:tr>
      <w:tr>
        <w:tc>
          <w:tcPr>
            <w:gridSpan w:val="5"/>
          </w:tcPr>
          <w:p>
            <w:pPr>
              <w:pStyle w:val="Compact"/>
              <w:jc w:val="right"/>
            </w:pPr>
            <w:r>
              <w:t xml:space="preserve">Applicable IGV (18%):</w:t>
            </w:r>
          </w:p>
        </w:tc>
        <w:tc>
          <w:tcPr/>
          <w:p>
            <w:pPr>
              <w:pStyle w:val="Compact"/>
              <w:jc w:val="left"/>
            </w:pPr>
            <w:r>
              <w:t xml:space="preserve">291,150.00</w:t>
            </w:r>
          </w:p>
        </w:tc>
      </w:tr>
      <w:tr>
        <w:tc>
          <w:tcPr>
            <w:gridSpan w:val="5"/>
          </w:tcPr>
          <w:p>
            <w:pPr>
              <w:pStyle w:val="Compact"/>
              <w:jc w:val="right"/>
            </w:pPr>
            <w:r>
              <w:t xml:space="preserve">TOTAL QUOTATION ESTIMATE (PEN):</w:t>
            </w:r>
          </w:p>
        </w:tc>
        <w:tc>
          <w:tcPr/>
          <w:p>
            <w:pPr>
              <w:pStyle w:val="Compact"/>
              <w:jc w:val="left"/>
            </w:pPr>
            <w:r>
              <w:t xml:space="preserve">1,908,650.00</w:t>
            </w:r>
          </w:p>
        </w:tc>
      </w:tr>
      <w:tr>
        <w:tc>
          <w:tcPr>
            <w:gridSpan w:val="5"/>
          </w:tcPr>
          <w:p>
            <w:pPr>
              <w:pStyle w:val="Compact"/>
              <w:jc w:val="right"/>
            </w:pPr>
            <w:r>
              <w:t xml:space="preserve">TOTAL QUOTATION ESTIMATE (USD, approx.):</w:t>
            </w:r>
          </w:p>
        </w:tc>
        <w:tc>
          <w:tcPr/>
          <w:p>
            <w:pPr>
              <w:pStyle w:val="Compact"/>
              <w:jc w:val="left"/>
            </w:pPr>
            <w:r>
              <w:t xml:space="preserve">572,595.00</w:t>
            </w:r>
          </w:p>
        </w:tc>
      </w:tr>
    </w:tbl>
    <w:bookmarkEnd w:id="24"/>
    <w:bookmarkStart w:id="25" w:name="terms-and-conditions"/>
    <w:p>
      <w:pPr>
        <w:pStyle w:val="Heading3"/>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based on market conditions in Peru Lima and applicable regulatory changes.</w:t>
      </w:r>
    </w:p>
    <w:p>
      <w:pPr>
        <w:numPr>
          <w:ilvl w:val="0"/>
          <w:numId w:val="1001"/>
        </w:numPr>
        <w:pStyle w:val="Compact"/>
      </w:pPr>
      <w:r>
        <w:t xml:space="preserve">The</w:t>
      </w:r>
      <w:r>
        <w:t xml:space="preserve"> </w:t>
      </w:r>
      <w:r>
        <w:t xml:space="preserve">Military Officer</w:t>
      </w:r>
      <w:r>
        <w:t xml:space="preserve"> </w:t>
      </w:r>
      <w:r>
        <w:t xml:space="preserve">engaged under this Quotation Estimate shall operate under a formal service contract to be executed upon Client acceptance. The contract will specify the exact rank, name, and credentials of the Military Officer assigned, subject to Client approval.</w:t>
      </w:r>
    </w:p>
    <w:p>
      <w:pPr>
        <w:numPr>
          <w:ilvl w:val="0"/>
          <w:numId w:val="1001"/>
        </w:numPr>
        <w:pStyle w:val="Compact"/>
      </w:pPr>
      <w:r>
        <w:t xml:space="preserve">All services will be rendered exclusively within the administrative boundaries of</w:t>
      </w:r>
      <w:r>
        <w:t xml:space="preserve"> </w:t>
      </w:r>
      <w:r>
        <w:t xml:space="preserve">Peru Lima</w:t>
      </w:r>
      <w:r>
        <w:t xml:space="preserve">, including the Lima Metropolitan District and the provinces of Callao, Huaral, and Huaura, unless otherwise agreed in writing.</w:t>
      </w:r>
    </w:p>
    <w:p>
      <w:pPr>
        <w:numPr>
          <w:ilvl w:val="0"/>
          <w:numId w:val="1001"/>
        </w:numPr>
        <w:pStyle w:val="Compact"/>
      </w:pPr>
      <w:r>
        <w:t xml:space="preserve">Payment terms: 40% advance upon contract execution, 30% upon completion of the first 30-day operational period, and 30% upon final delivery and acceptance of all services. Payments shall be made in Peruvian Soles (PEN) via bank transfer to the account designated in the contract.</w:t>
      </w:r>
    </w:p>
    <w:p>
      <w:pPr>
        <w:numPr>
          <w:ilvl w:val="0"/>
          <w:numId w:val="1001"/>
        </w:numPr>
        <w:pStyle w:val="Compact"/>
      </w:pPr>
      <w:r>
        <w:t xml:space="preserve">The Military Officer shall maintain all necessary professional certifications, security clearances, and insurance coverage as required by Peruvian law. The Client shall be provided with copies of all relevant documentation prior to the commencement of services.</w:t>
      </w:r>
    </w:p>
    <w:p>
      <w:pPr>
        <w:numPr>
          <w:ilvl w:val="0"/>
          <w:numId w:val="1001"/>
        </w:numPr>
        <w:pStyle w:val="Compact"/>
      </w:pPr>
      <w:r>
        <w:t xml:space="preserve">Any modification to the scope of services, duration, or operational area within Peru Lima must be documented through a formal amendment to this Quotation Estimate, signed by both parties.</w:t>
      </w:r>
    </w:p>
    <w:p>
      <w:pPr>
        <w:numPr>
          <w:ilvl w:val="0"/>
          <w:numId w:val="1001"/>
        </w:numPr>
        <w:pStyle w:val="Compact"/>
      </w:pPr>
      <w:r>
        <w:t xml:space="preserve">This Quotation Estimate does not constitute a binding contract until formally accepted in writing by the Client and countersigned by the service provider. Acceptance shall be communicated via email or signed letter within the validity period.</w:t>
      </w:r>
    </w:p>
    <w:p>
      <w:pPr>
        <w:numPr>
          <w:ilvl w:val="0"/>
          <w:numId w:val="1001"/>
        </w:numPr>
        <w:pStyle w:val="Compact"/>
      </w:pPr>
      <w:r>
        <w:t xml:space="preserve">Force majeure events, including but not limited to natural disasters affecting the Lima region, government-mandated shutdowns, or acts of war, shall suspend obligations under this Quotation Estimate without penalty to either party.</w:t>
      </w:r>
    </w:p>
    <w:p>
      <w:pPr>
        <w:numPr>
          <w:ilvl w:val="0"/>
          <w:numId w:val="1001"/>
        </w:numPr>
        <w:pStyle w:val="Compact"/>
      </w:pPr>
      <w:r>
        <w:t xml:space="preserve">Confidentiality: All information exchanged in connection with this Quotation Estimate and the subsequent engagement of the Military Officer in Peru Lima shall be treated as strictly confidential and shall not be disclosed to third parties without prior written consent.</w:t>
      </w:r>
    </w:p>
    <w:p>
      <w:pPr>
        <w:numPr>
          <w:ilvl w:val="0"/>
          <w:numId w:val="1001"/>
        </w:numPr>
        <w:pStyle w:val="Compact"/>
      </w:pPr>
      <w:r>
        <w:t xml:space="preserve">Governing law: This Quotation Estimate and any resulting contract shall be governed by and interpreted in accordance with the laws of the Republic of Peru. Any disputes shall be resolved through the competent courts of Lima, Peru.</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described services for the engagement of a</w:t>
      </w:r>
      <w:r>
        <w:t xml:space="preserve"> </w:t>
      </w:r>
      <w:r>
        <w:t xml:space="preserve">Military Officer</w:t>
      </w:r>
      <w:r>
        <w:t xml:space="preserve"> </w:t>
      </w:r>
      <w:r>
        <w:t xml:space="preserve">in</w:t>
      </w:r>
      <w:r>
        <w:t xml:space="preserve"> </w:t>
      </w:r>
      <w:r>
        <w:t xml:space="preserve">Peru Lima</w:t>
      </w:r>
      <w:r>
        <w:t xml:space="preserve"> </w:t>
      </w:r>
      <w:r>
        <w:t xml:space="preserve">meet the Client's operational requirements. This signature constitutes formal acceptance of the terms, conditions, and pricing outlined herein.</w:t>
      </w:r>
    </w:p>
    <w:p>
      <w:pPr>
        <w:pStyle w:val="BodyText"/>
      </w:pPr>
      <w:r>
        <w:rPr>
          <w:bCs/>
          <w:b/>
        </w:rPr>
        <w:t xml:space="preserve">For the Service Provider</w:t>
      </w:r>
      <w:r>
        <w:br/>
      </w:r>
      <w:r>
        <w:t xml:space="preserve">Name: ______________________________</w:t>
      </w:r>
      <w:r>
        <w:br/>
      </w:r>
      <w:r>
        <w:t xml:space="preserve">Title: Director of Professional Services</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Quotation Estimate QE-ML-2025-0047 | Military Officer Services | Peru Lima | Page 1 of 1</w:t>
      </w:r>
    </w:p>
    <w:p>
      <w:pPr>
        <w:pStyle w:val="BodyText"/>
      </w:pPr>
      <w:r>
        <w:t xml:space="preserve">This document is the property of the issuing entity. Unauthorized reproduction or distribution is prohibited under Peruvian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Peru Lima</dc:title>
  <dc:creator/>
  <dc:language>en</dc:language>
  <cp:keywords/>
  <dcterms:created xsi:type="dcterms:W3CDTF">2026-10-10T01:19:59Z</dcterms:created>
  <dcterms:modified xsi:type="dcterms:W3CDTF">2026-10-10T01:19:59Z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