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quotation-estimate"/>
    <w:p>
      <w:pPr>
        <w:pStyle w:val="Heading1"/>
      </w:pPr>
      <w:r>
        <w:t xml:space="preserve">Quotation Estimate</w:t>
      </w:r>
    </w:p>
    <w:p>
      <w:pPr>
        <w:pStyle w:val="FirstParagraph"/>
      </w:pPr>
      <w:r>
        <w:t xml:space="preserve">Professional Military Officer Advisory &amp; Security Services</w:t>
      </w:r>
    </w:p>
    <w:p>
      <w:pPr>
        <w:pStyle w:val="BodyText"/>
      </w:pPr>
      <w:r>
        <w:t xml:space="preserve">Serving Saudi Arabia Riyadh and the Kingdom of Saudi Arabia</w:t>
      </w:r>
    </w:p>
    <w:bookmarkEnd w:id="20"/>
    <w:bookmarkStart w:id="21" w:name="service-provider"/>
    <w:p>
      <w:pPr>
        <w:pStyle w:val="Heading3"/>
      </w:pPr>
      <w:r>
        <w:t xml:space="preserve">Service Provider</w:t>
      </w:r>
    </w:p>
    <w:p>
      <w:pPr>
        <w:pStyle w:val="FirstParagraph"/>
      </w:pPr>
      <w:r>
        <w:rPr>
          <w:bCs/>
          <w:b/>
        </w:rPr>
        <w:t xml:space="preserve">Al-Riyadh Defense &amp; Security Consultancy LLC</w:t>
      </w:r>
    </w:p>
    <w:p>
      <w:pPr>
        <w:pStyle w:val="BodyText"/>
      </w:pPr>
      <w:r>
        <w:t xml:space="preserve">Kingdom Tower, 12th Floor</w:t>
      </w:r>
    </w:p>
    <w:p>
      <w:pPr>
        <w:pStyle w:val="BodyText"/>
      </w:pPr>
      <w:r>
        <w:t xml:space="preserve">Olaya District, Saudi Arabia Riyadh</w:t>
      </w:r>
    </w:p>
    <w:p>
      <w:pPr>
        <w:pStyle w:val="BodyText"/>
      </w:pPr>
      <w:r>
        <w:t xml:space="preserve">CR No: 1010456789</w:t>
      </w:r>
    </w:p>
    <w:p>
      <w:pPr>
        <w:pStyle w:val="BodyText"/>
      </w:pPr>
      <w:r>
        <w:t xml:space="preserve">VAT No: 310123456700003</w:t>
      </w:r>
    </w:p>
    <w:p>
      <w:pPr>
        <w:pStyle w:val="BodyText"/>
      </w:pPr>
      <w:r>
        <w:t xml:space="preserve">Tel: +966 11 456 7890</w:t>
      </w:r>
    </w:p>
    <w:p>
      <w:pPr>
        <w:pStyle w:val="BodyText"/>
      </w:pPr>
      <w:r>
        <w:t xml:space="preserve">Email: quotations@alriyadhdefense.sa</w:t>
      </w:r>
    </w:p>
    <w:bookmarkEnd w:id="21"/>
    <w:bookmarkStart w:id="22" w:name="prepared-for-client"/>
    <w:p>
      <w:pPr>
        <w:pStyle w:val="Heading3"/>
      </w:pPr>
      <w:r>
        <w:t xml:space="preserve">Prepared For (Client)</w:t>
      </w:r>
    </w:p>
    <w:p>
      <w:pPr>
        <w:pStyle w:val="FirstParagraph"/>
      </w:pPr>
      <w:r>
        <w:rPr>
          <w:bCs/>
          <w:b/>
        </w:rPr>
        <w:t xml:space="preserve">Ministry of Interior – Security Affairs Division</w:t>
      </w:r>
    </w:p>
    <w:p>
      <w:pPr>
        <w:pStyle w:val="BodyText"/>
      </w:pPr>
      <w:r>
        <w:t xml:space="preserve">Government Complex, Al-Malaz District</w:t>
      </w:r>
    </w:p>
    <w:p>
      <w:pPr>
        <w:pStyle w:val="BodyText"/>
      </w:pPr>
      <w:r>
        <w:t xml:space="preserve">Saudi Arabia Riyadh, 12211</w:t>
      </w:r>
    </w:p>
    <w:p>
      <w:pPr>
        <w:pStyle w:val="BodyText"/>
      </w:pPr>
      <w:r>
        <w:t xml:space="preserve">Reference No: MOI/SEC/2025/04872</w:t>
      </w:r>
    </w:p>
    <w:p>
      <w:pPr>
        <w:pStyle w:val="BodyText"/>
      </w:pPr>
      <w:r>
        <w:t xml:space="preserve">Contact: Maj. Gen. Khalid Al-Otaibi</w:t>
      </w:r>
    </w:p>
    <w:p>
      <w:pPr>
        <w:pStyle w:val="BodyText"/>
      </w:pPr>
      <w:r>
        <w:t xml:space="preserve">Tel: +966 11 234 5678</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QTE-2025-07834</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60 days from date of issue</w:t>
            </w:r>
          </w:p>
        </w:tc>
        <w:tc>
          <w:tcPr/>
          <w:p>
            <w:pPr>
              <w:pStyle w:val="Compact"/>
              <w:jc w:val="left"/>
            </w:pPr>
            <w:r>
              <w:t xml:space="preserve">Currency:</w:t>
            </w:r>
          </w:p>
        </w:tc>
        <w:tc>
          <w:tcPr/>
          <w:p>
            <w:pPr>
              <w:pStyle w:val="Compact"/>
              <w:jc w:val="left"/>
            </w:pPr>
            <w:r>
              <w:t xml:space="preserve">Saudi Riyal (SAR)</w:t>
            </w:r>
          </w:p>
        </w:tc>
      </w:tr>
      <w:tr>
        <w:tc>
          <w:tcPr/>
          <w:p>
            <w:pPr>
              <w:pStyle w:val="Compact"/>
              <w:jc w:val="left"/>
            </w:pPr>
            <w:r>
              <w:t xml:space="preserve">Service Location:</w:t>
            </w:r>
          </w:p>
        </w:tc>
        <w:tc>
          <w:tcPr>
            <w:gridSpan w:val="3"/>
          </w:tcPr>
          <w:p>
            <w:pPr>
              <w:pStyle w:val="Compact"/>
              <w:jc w:val="left"/>
            </w:pPr>
            <w:r>
              <w:t xml:space="preserve">Saudi Arabia Riyadh – All designated government and private sector sites</w:t>
            </w:r>
          </w:p>
        </w:tc>
      </w:tr>
    </w:tbl>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Al-Riyadh Defense &amp; Security Consultancy LLC to provide a comprehensive, itemized financial breakdown for the engagement of a qualified</w:t>
      </w:r>
      <w:r>
        <w:t xml:space="preserve"> </w:t>
      </w:r>
      <w:r>
        <w:t xml:space="preserve">Military Officer</w:t>
      </w:r>
      <w:r>
        <w:t xml:space="preserve"> </w:t>
      </w:r>
      <w:r>
        <w:t xml:space="preserve">to deliver advisory, operational planning, and security coordination services within the city of</w:t>
      </w:r>
      <w:r>
        <w:t xml:space="preserve"> </w:t>
      </w:r>
      <w:r>
        <w:t xml:space="preserve">Saudi Arabia Riyadh</w:t>
      </w:r>
      <w:r>
        <w:t xml:space="preserve"> </w:t>
      </w:r>
      <w:r>
        <w:t xml:space="preserve">and its surrounding metropolitan areas. This document serves as the official pricing proposal and does not constitute a binding contract until formally accepted and countersigned by both parties in accordance with Saudi Arabian commercial law and the regulations of the Ministry of Interior.</w:t>
      </w:r>
    </w:p>
    <w:p>
      <w:pPr>
        <w:pStyle w:val="BodyText"/>
      </w:pPr>
      <w:r>
        <w:t xml:space="preserve">The</w:t>
      </w:r>
      <w:r>
        <w:t xml:space="preserve"> </w:t>
      </w:r>
      <w:r>
        <w:t xml:space="preserve">Military Officer</w:t>
      </w:r>
      <w:r>
        <w:t xml:space="preserve"> </w:t>
      </w:r>
      <w:r>
        <w:t xml:space="preserve">proposed for this engagement holds a minimum of twenty-five (25) years of active and reserve service experience, including senior command positions in armored infantry, joint operations, and strategic security planning. The officer has completed advanced certifications from the Saudi Military Academy, the U.S. Army War College, and the NATO Defense College, making them uniquely qualified to support the operational requirements of the client in</w:t>
      </w:r>
      <w:r>
        <w:t xml:space="preserve"> </w:t>
      </w:r>
      <w:r>
        <w:t xml:space="preserve">Saudi Arabia Riyadh</w:t>
      </w:r>
      <w:r>
        <w:t xml:space="preserve">.</w:t>
      </w:r>
    </w:p>
    <w:bookmarkEnd w:id="23"/>
    <w:bookmarkStart w:id="24"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Monthly retainer for Military Officer advisory services – strategic security planning, threat assessment, and operational doctrine development for Saudi Arabia Riyadh</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02</w:t>
            </w:r>
          </w:p>
        </w:tc>
        <w:tc>
          <w:tcPr/>
          <w:p>
            <w:pPr>
              <w:pStyle w:val="Compact"/>
              <w:jc w:val="left"/>
            </w:pPr>
            <w:r>
              <w:t xml:space="preserve">On-site operational security assessments at designated facilities in Saudi Arabia Riyadh (minimum 4 visits per month)</w:t>
            </w:r>
          </w:p>
        </w:tc>
        <w:tc>
          <w:tcPr/>
          <w:p>
            <w:pPr>
              <w:pStyle w:val="Compact"/>
              <w:jc w:val="left"/>
            </w:pPr>
            <w:r>
              <w:t xml:space="preserve">12 months</w:t>
            </w:r>
          </w:p>
        </w:tc>
        <w:tc>
          <w:tcPr/>
          <w:p>
            <w:pPr>
              <w:pStyle w:val="Compact"/>
              <w:jc w:val="left"/>
            </w:pPr>
            <w:r>
              <w:t xml:space="preserve">12,500</w:t>
            </w:r>
          </w:p>
        </w:tc>
        <w:tc>
          <w:tcPr/>
          <w:p>
            <w:pPr>
              <w:pStyle w:val="Compact"/>
              <w:jc w:val="left"/>
            </w:pPr>
            <w:r>
              <w:t xml:space="preserve">600,000</w:t>
            </w:r>
          </w:p>
        </w:tc>
      </w:tr>
      <w:tr>
        <w:tc>
          <w:tcPr/>
          <w:p>
            <w:pPr>
              <w:pStyle w:val="Compact"/>
              <w:jc w:val="left"/>
            </w:pPr>
            <w:r>
              <w:t xml:space="preserve">03</w:t>
            </w:r>
          </w:p>
        </w:tc>
        <w:tc>
          <w:tcPr/>
          <w:p>
            <w:pPr>
              <w:pStyle w:val="Compact"/>
              <w:jc w:val="left"/>
            </w:pPr>
            <w:r>
              <w:t xml:space="preserve">Development of comprehensive security protocols and emergency response plans tailored to the urban environment of Saudi Arabia Riyadh</w:t>
            </w:r>
          </w:p>
        </w:tc>
        <w:tc>
          <w:tcPr/>
          <w:p>
            <w:pPr>
              <w:pStyle w:val="Compact"/>
              <w:jc w:val="left"/>
            </w:pPr>
            <w:r>
              <w:t xml:space="preserve">One-time</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04</w:t>
            </w:r>
          </w:p>
        </w:tc>
        <w:tc>
          <w:tcPr/>
          <w:p>
            <w:pPr>
              <w:pStyle w:val="Compact"/>
              <w:jc w:val="left"/>
            </w:pPr>
            <w:r>
              <w:t xml:space="preserve">Training and professional development workshops for client personnel (up to 200 participants per session, 4 sessions annually)</w:t>
            </w:r>
          </w:p>
        </w:tc>
        <w:tc>
          <w:tcPr/>
          <w:p>
            <w:pPr>
              <w:pStyle w:val="Compact"/>
              <w:jc w:val="left"/>
            </w:pPr>
            <w:r>
              <w:t xml:space="preserve">12 months</w:t>
            </w:r>
          </w:p>
        </w:tc>
        <w:tc>
          <w:tcPr/>
          <w:p>
            <w:pPr>
              <w:pStyle w:val="Compact"/>
              <w:jc w:val="left"/>
            </w:pPr>
            <w:r>
              <w:t xml:space="preserve">38,000</w:t>
            </w:r>
          </w:p>
        </w:tc>
        <w:tc>
          <w:tcPr/>
          <w:p>
            <w:pPr>
              <w:pStyle w:val="Compact"/>
              <w:jc w:val="left"/>
            </w:pPr>
            <w:r>
              <w:t xml:space="preserve">152,000</w:t>
            </w:r>
          </w:p>
        </w:tc>
      </w:tr>
      <w:tr>
        <w:tc>
          <w:tcPr/>
          <w:p>
            <w:pPr>
              <w:pStyle w:val="Compact"/>
              <w:jc w:val="left"/>
            </w:pPr>
            <w:r>
              <w:t xml:space="preserve">05</w:t>
            </w:r>
          </w:p>
        </w:tc>
        <w:tc>
          <w:tcPr/>
          <w:p>
            <w:pPr>
              <w:pStyle w:val="Compact"/>
              <w:jc w:val="left"/>
            </w:pPr>
            <w:r>
              <w:t xml:space="preserve">24/7 emergency consultation hotline and crisis management support for the Military Officer</w:t>
            </w:r>
          </w:p>
        </w:tc>
        <w:tc>
          <w:tcPr/>
          <w:p>
            <w:pPr>
              <w:pStyle w:val="Compact"/>
              <w:jc w:val="left"/>
            </w:pPr>
            <w:r>
              <w:t xml:space="preserve">12 months</w:t>
            </w:r>
          </w:p>
        </w:tc>
        <w:tc>
          <w:tcPr/>
          <w:p>
            <w:pPr>
              <w:pStyle w:val="Compact"/>
              <w:jc w:val="left"/>
            </w:pPr>
            <w:r>
              <w:t xml:space="preserve">18,000</w:t>
            </w:r>
          </w:p>
        </w:tc>
        <w:tc>
          <w:tcPr/>
          <w:p>
            <w:pPr>
              <w:pStyle w:val="Compact"/>
              <w:jc w:val="left"/>
            </w:pPr>
            <w:r>
              <w:t xml:space="preserve">216,000</w:t>
            </w:r>
          </w:p>
        </w:tc>
      </w:tr>
      <w:tr>
        <w:tc>
          <w:tcPr/>
          <w:p>
            <w:pPr>
              <w:pStyle w:val="Compact"/>
              <w:jc w:val="left"/>
            </w:pPr>
            <w:r>
              <w:t xml:space="preserve">06</w:t>
            </w:r>
          </w:p>
        </w:tc>
        <w:tc>
          <w:tcPr/>
          <w:p>
            <w:pPr>
              <w:pStyle w:val="Compact"/>
              <w:jc w:val="left"/>
            </w:pPr>
            <w:r>
              <w:t xml:space="preserve">Travel, accommodation, and logistical support for the Military Officer within Saudi Arabia Riyadh and inter-city deployments as required</w:t>
            </w:r>
          </w:p>
        </w:tc>
        <w:tc>
          <w:tcPr/>
          <w:p>
            <w:pPr>
              <w:pStyle w:val="Compact"/>
              <w:jc w:val="left"/>
            </w:pPr>
            <w:r>
              <w:t xml:space="preserve">12 months</w:t>
            </w:r>
          </w:p>
        </w:tc>
        <w:tc>
          <w:tcPr/>
          <w:p>
            <w:pPr>
              <w:pStyle w:val="Compact"/>
              <w:jc w:val="left"/>
            </w:pPr>
            <w:r>
              <w:t xml:space="preserve">9,500</w:t>
            </w:r>
          </w:p>
        </w:tc>
        <w:tc>
          <w:tcPr/>
          <w:p>
            <w:pPr>
              <w:pStyle w:val="Compact"/>
              <w:jc w:val="left"/>
            </w:pPr>
            <w:r>
              <w:t xml:space="preserve">114,000</w:t>
            </w:r>
          </w:p>
        </w:tc>
      </w:tr>
      <w:tr>
        <w:tc>
          <w:tcPr/>
          <w:p>
            <w:pPr>
              <w:pStyle w:val="Compact"/>
              <w:jc w:val="left"/>
            </w:pPr>
            <w:r>
              <w:t xml:space="preserve">07</w:t>
            </w:r>
          </w:p>
        </w:tc>
        <w:tc>
          <w:tcPr/>
          <w:p>
            <w:pPr>
              <w:pStyle w:val="Compact"/>
              <w:jc w:val="left"/>
            </w:pPr>
            <w:r>
              <w:t xml:space="preserve">Annual comprehensive security audit report and strategic recommendations document</w:t>
            </w:r>
          </w:p>
        </w:tc>
        <w:tc>
          <w:tcPr/>
          <w:p>
            <w:pPr>
              <w:pStyle w:val="Compact"/>
              <w:jc w:val="left"/>
            </w:pPr>
            <w:r>
              <w:t xml:space="preserve">12 months</w:t>
            </w:r>
          </w:p>
        </w:tc>
        <w:tc>
          <w:tcPr/>
          <w:p>
            <w:pPr>
              <w:pStyle w:val="Compact"/>
              <w:jc w:val="left"/>
            </w:pPr>
            <w:r>
              <w:t xml:space="preserve">42,000</w:t>
            </w:r>
          </w:p>
        </w:tc>
        <w:tc>
          <w:tcPr/>
          <w:p>
            <w:pPr>
              <w:pStyle w:val="Compact"/>
              <w:jc w:val="left"/>
            </w:pPr>
            <w:r>
              <w:t xml:space="preserve">42,000</w:t>
            </w:r>
          </w:p>
        </w:tc>
      </w:tr>
      <w:tr>
        <w:tc>
          <w:tcPr>
            <w:gridSpan w:val="4"/>
          </w:tcPr>
          <w:p>
            <w:pPr>
              <w:pStyle w:val="Compact"/>
              <w:jc w:val="left"/>
            </w:pPr>
            <w:r>
              <w:t xml:space="preserve">Subtotal (SAR)</w:t>
            </w:r>
          </w:p>
        </w:tc>
        <w:tc>
          <w:tcPr/>
          <w:p>
            <w:pPr>
              <w:pStyle w:val="Compact"/>
              <w:jc w:val="left"/>
            </w:pPr>
            <w:r>
              <w:t xml:space="preserve">1,749,000</w:t>
            </w:r>
          </w:p>
        </w:tc>
      </w:tr>
      <w:tr>
        <w:tc>
          <w:tcPr>
            <w:gridSpan w:val="4"/>
          </w:tcPr>
          <w:p>
            <w:pPr>
              <w:pStyle w:val="Compact"/>
              <w:jc w:val="left"/>
            </w:pPr>
            <w:r>
              <w:t xml:space="preserve">VAT (15%)</w:t>
            </w:r>
          </w:p>
        </w:tc>
        <w:tc>
          <w:tcPr/>
          <w:p>
            <w:pPr>
              <w:pStyle w:val="Compact"/>
              <w:jc w:val="left"/>
            </w:pPr>
            <w:r>
              <w:t xml:space="preserve">262,350</w:t>
            </w:r>
          </w:p>
        </w:tc>
      </w:tr>
      <w:tr>
        <w:tc>
          <w:tcPr>
            <w:gridSpan w:val="4"/>
          </w:tcPr>
          <w:p>
            <w:pPr>
              <w:pStyle w:val="Compact"/>
              <w:jc w:val="left"/>
            </w:pPr>
            <w:r>
              <w:t xml:space="preserve">Grand Total (SAR)</w:t>
            </w:r>
          </w:p>
        </w:tc>
        <w:tc>
          <w:tcPr/>
          <w:p>
            <w:pPr>
              <w:pStyle w:val="Compact"/>
              <w:jc w:val="left"/>
            </w:pPr>
            <w:r>
              <w:t xml:space="preserve">2,011,350</w:t>
            </w:r>
          </w:p>
        </w:tc>
      </w:tr>
    </w:tbl>
    <w:p>
      <w:pPr>
        <w:pStyle w:val="BodyText"/>
      </w:pPr>
      <w:r>
        <w:rPr>
          <w:bCs/>
          <w:b/>
        </w:rPr>
        <w:t xml:space="preserve">Note:</w:t>
      </w:r>
      <w:r>
        <w:t xml:space="preserve"> </w:t>
      </w:r>
      <w:r>
        <w:t xml:space="preserve">This Quotation Estimate is exclusive of any government licensing fees, visa processing costs for the Military Officer (if applicable), or third-party equipment procurement. All prices are quoted in Saudi Riyal (SAR) and are subject to revision should the scope of services in Saudi Arabia Riyadh be materially altered by mutual written agreement.</w:t>
      </w:r>
    </w:p>
    <w:bookmarkEnd w:id="24"/>
    <w:bookmarkStart w:id="25"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shall remain valid for a period of sixty (60) calendar days from the date of issue. Beyond this period, all pricing and availability of the proposed</w:t>
      </w:r>
      <w:r>
        <w:t xml:space="preserve"> </w:t>
      </w:r>
      <w:r>
        <w:t xml:space="preserve">Military Officer</w:t>
      </w:r>
      <w:r>
        <w:t xml:space="preserve"> </w:t>
      </w:r>
      <w:r>
        <w:t xml:space="preserve">are subject to re-evaluation.</w:t>
      </w:r>
    </w:p>
    <w:p>
      <w:pPr>
        <w:numPr>
          <w:ilvl w:val="0"/>
          <w:numId w:val="1001"/>
        </w:numPr>
        <w:pStyle w:val="Compact"/>
      </w:pPr>
      <w:r>
        <w:t xml:space="preserve">Payment terms: 30% advance payment upon contract execution, 40% upon completion of the first six (6) months of service, and 30% upon successful completion of the full twelve-month engagement period. All payments shall be made via bank transfer to the account designated in the service agreement.</w:t>
      </w:r>
    </w:p>
    <w:p>
      <w:pPr>
        <w:numPr>
          <w:ilvl w:val="0"/>
          <w:numId w:val="1001"/>
        </w:numPr>
        <w:pStyle w:val="Compact"/>
      </w:pPr>
      <w:r>
        <w:t xml:space="preserve">The</w:t>
      </w:r>
      <w:r>
        <w:t xml:space="preserve"> </w:t>
      </w:r>
      <w:r>
        <w:t xml:space="preserve">Military Officer</w:t>
      </w:r>
      <w:r>
        <w:t xml:space="preserve"> </w:t>
      </w:r>
      <w:r>
        <w:t xml:space="preserve">shall operate in full compliance with all laws, regulations, and security protocols of the Kingdom of Saudi Arabia, including but not limited to the directives issued by the Ministry of Interior and the National Security Authority in</w:t>
      </w:r>
      <w:r>
        <w:t xml:space="preserve"> </w:t>
      </w:r>
      <w:r>
        <w:t xml:space="preserve">Saudi Arabia Riyadh</w:t>
      </w:r>
      <w:r>
        <w:t xml:space="preserve">.</w:t>
      </w:r>
    </w:p>
    <w:p>
      <w:pPr>
        <w:numPr>
          <w:ilvl w:val="0"/>
          <w:numId w:val="1001"/>
        </w:numPr>
        <w:pStyle w:val="Compact"/>
      </w:pPr>
      <w:r>
        <w:t xml:space="preserve">All information, documents, and operational plans developed under this engagement shall be classified as strictly confidential. The</w:t>
      </w:r>
      <w:r>
        <w:t xml:space="preserve"> </w:t>
      </w:r>
      <w:r>
        <w:t xml:space="preserve">Military Officer</w:t>
      </w:r>
      <w:r>
        <w:t xml:space="preserve"> </w:t>
      </w:r>
      <w:r>
        <w:t xml:space="preserve">and all supporting personnel shall execute a Non-Disclosure Agreement (NDA) prior to commencing any work in</w:t>
      </w:r>
      <w:r>
        <w:t xml:space="preserve"> </w:t>
      </w:r>
      <w:r>
        <w:t xml:space="preserve">Saudi Arabia Riyadh</w:t>
      </w:r>
      <w:r>
        <w:t xml:space="preserve">.</w:t>
      </w:r>
    </w:p>
    <w:p>
      <w:pPr>
        <w:numPr>
          <w:ilvl w:val="0"/>
          <w:numId w:val="1001"/>
        </w:numPr>
        <w:pStyle w:val="Compact"/>
      </w:pPr>
      <w:r>
        <w:t xml:space="preserve">Either party may terminate the service agreement with a written notice of thirty (30) days. In the event of early termination, the client shall be liable for all services rendered up to the date of termination, as itemized in this</w:t>
      </w:r>
      <w:r>
        <w:t xml:space="preserve"> </w:t>
      </w:r>
      <w:r>
        <w:t xml:space="preserve">Quotation Estimate</w:t>
      </w:r>
      <w:r>
        <w:t xml:space="preserve">.</w:t>
      </w:r>
    </w:p>
    <w:p>
      <w:pPr>
        <w:numPr>
          <w:ilvl w:val="0"/>
          <w:numId w:val="1001"/>
        </w:numPr>
        <w:pStyle w:val="Compact"/>
      </w:pPr>
      <w:r>
        <w:t xml:space="preserve">Force majeure events, including but not limited to natural disasters, government-mandated shutdowns, or acts of war, shall suspend obligations under this agreement without penalty to either party.</w:t>
      </w:r>
    </w:p>
    <w:p>
      <w:pPr>
        <w:numPr>
          <w:ilvl w:val="0"/>
          <w:numId w:val="1001"/>
        </w:numPr>
        <w:pStyle w:val="Compact"/>
      </w:pPr>
      <w:r>
        <w:t xml:space="preserve">This</w:t>
      </w:r>
      <w:r>
        <w:t xml:space="preserve"> </w:t>
      </w:r>
      <w:r>
        <w:t xml:space="preserve">Quotation Estimate</w:t>
      </w:r>
      <w:r>
        <w:t xml:space="preserve"> </w:t>
      </w:r>
      <w:r>
        <w:t xml:space="preserve">is governed by the laws of the Kingdom of Saudi Arabia. Any disputes arising from the interpretation or execution of this document shall be resolved through the competent courts in</w:t>
      </w:r>
      <w:r>
        <w:t xml:space="preserve"> </w:t>
      </w:r>
      <w:r>
        <w:t xml:space="preserve">Saudi Arabia Riyadh</w:t>
      </w:r>
      <w:r>
        <w:t xml:space="preserve">.</w:t>
      </w:r>
    </w:p>
    <w:bookmarkEnd w:id="25"/>
    <w:bookmarkStart w:id="26" w:name="acceptance-and-authorization"/>
    <w:p>
      <w:pPr>
        <w:pStyle w:val="Heading2"/>
      </w:pPr>
      <w:r>
        <w:t xml:space="preserve">4. Acceptance and Authorization</w:t>
      </w:r>
    </w:p>
    <w:p>
      <w:pPr>
        <w:pStyle w:val="FirstParagraph"/>
      </w:pPr>
      <w:r>
        <w:t xml:space="preserve">By signing below, both parties acknowledge that they have read, understood, and agree to the terms, conditions, and financial obligations outlined in this</w:t>
      </w:r>
      <w:r>
        <w:t xml:space="preserve"> </w:t>
      </w:r>
      <w:r>
        <w:t xml:space="preserve">Quotation Estimate</w:t>
      </w:r>
      <w:r>
        <w:t xml:space="preserve"> </w:t>
      </w:r>
      <w:r>
        <w:t xml:space="preserve">for the engagement of a</w:t>
      </w:r>
      <w:r>
        <w:t xml:space="preserve"> </w:t>
      </w:r>
      <w:r>
        <w:t xml:space="preserve">Military Officer</w:t>
      </w:r>
      <w:r>
        <w:t xml:space="preserve"> </w:t>
      </w:r>
      <w:r>
        <w:t xml:space="preserve">to provide security advisory and operational services in</w:t>
      </w:r>
      <w:r>
        <w:t xml:space="preserve"> </w:t>
      </w:r>
      <w:r>
        <w:t xml:space="preserve">Saudi Arabia Riyadh</w:t>
      </w:r>
      <w:r>
        <w:t xml:space="preserve">.</w:t>
      </w:r>
    </w:p>
    <w:p>
      <w:pPr>
        <w:pStyle w:val="BodyText"/>
      </w:pPr>
      <w:r>
        <w:rPr>
          <w:bCs/>
          <w:b/>
        </w:rPr>
        <w:t xml:space="preserve">For the Service Provider:</w:t>
      </w:r>
    </w:p>
    <w:p>
      <w:pPr>
        <w:pStyle w:val="BodyText"/>
      </w:pPr>
      <w:r>
        <w:t xml:space="preserve">Al-Riyadh Defense &amp; Security Consultancy LLC</w:t>
      </w:r>
    </w:p>
    <w:p>
      <w:pPr>
        <w:pStyle w:val="BodyText"/>
      </w:pPr>
      <w:r>
        <w:t xml:space="preserve">Authorized Signatory: ___________________________</w:t>
      </w:r>
    </w:p>
    <w:p>
      <w:pPr>
        <w:pStyle w:val="BodyText"/>
      </w:pPr>
      <w:r>
        <w:t xml:space="preserve">Name: Col. (Ret.) Faisal Al-Harbi</w:t>
      </w:r>
    </w:p>
    <w:p>
      <w:pPr>
        <w:pStyle w:val="BodyText"/>
      </w:pPr>
      <w:r>
        <w:t xml:space="preserve">Title: Chief Executive Officer</w:t>
      </w:r>
    </w:p>
    <w:p>
      <w:pPr>
        <w:pStyle w:val="BodyText"/>
      </w:pPr>
      <w:r>
        <w:t xml:space="preserve">Date: ___________________________</w:t>
      </w:r>
    </w:p>
    <w:p>
      <w:pPr>
        <w:pStyle w:val="BodyText"/>
      </w:pPr>
      <w:r>
        <w:t xml:space="preserve">Company Stamp:</w:t>
      </w:r>
    </w:p>
    <w:p>
      <w:pPr>
        <w:pStyle w:val="BodyText"/>
      </w:pPr>
      <w:r>
        <w:rPr>
          <w:bCs/>
          <w:b/>
        </w:rPr>
        <w:t xml:space="preserve">For the Client:</w:t>
      </w:r>
    </w:p>
    <w:p>
      <w:pPr>
        <w:pStyle w:val="BodyText"/>
      </w:pPr>
      <w:r>
        <w:t xml:space="preserve">Ministry of Interior – Security Affairs Division</w:t>
      </w:r>
    </w:p>
    <w:p>
      <w:pPr>
        <w:pStyle w:val="BodyText"/>
      </w:pPr>
      <w:r>
        <w:t xml:space="preserve">Authorized Signatory: ___________________________</w:t>
      </w:r>
    </w:p>
    <w:p>
      <w:pPr>
        <w:pStyle w:val="BodyText"/>
      </w:pPr>
      <w:r>
        <w:t xml:space="preserve">Name: Maj. Gen. Khalid Al-Otaibi</w:t>
      </w:r>
    </w:p>
    <w:p>
      <w:pPr>
        <w:pStyle w:val="BodyText"/>
      </w:pPr>
      <w:r>
        <w:t xml:space="preserve">Title: Director of Security Affairs</w:t>
      </w:r>
    </w:p>
    <w:p>
      <w:pPr>
        <w:pStyle w:val="BodyText"/>
      </w:pPr>
      <w:r>
        <w:t xml:space="preserve">Date: ___________________________</w:t>
      </w:r>
    </w:p>
    <w:p>
      <w:pPr>
        <w:pStyle w:val="BodyText"/>
      </w:pPr>
      <w:r>
        <w:t xml:space="preserve">Official Seal:</w:t>
      </w:r>
    </w:p>
    <w:p>
      <w:pPr>
        <w:pStyle w:val="BodyText"/>
      </w:pPr>
      <w:r>
        <w:t xml:space="preserve">Al-Riyadh Defense &amp; Security Consultancy LLC | Kingdom Tower, Olaya District, Saudi Arabia Riyadh 12211</w:t>
      </w:r>
    </w:p>
    <w:p>
      <w:pPr>
        <w:pStyle w:val="BodyText"/>
      </w:pPr>
      <w:r>
        <w:t xml:space="preserve">CR: 1010456789 | VAT: 310123456700003 | This Quotation Estimate is a controlled document. Unauthorized reproduction is prohibited.</w:t>
      </w:r>
    </w:p>
    <w:p>
      <w:pPr>
        <w:pStyle w:val="BodyText"/>
      </w:pPr>
      <w:r>
        <w:t xml:space="preserve">Document Reference: QTE-2025-07834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Military Officer Services - Saudi Arabia Riyadh</dc:title>
  <dc:creator/>
  <dc:language>en</dc:language>
  <cp:keywords/>
  <dcterms:created xsi:type="dcterms:W3CDTF">2026-10-10T07:01:58Z</dcterms:created>
  <dcterms:modified xsi:type="dcterms:W3CDTF">2026-10-10T07:01:58Z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