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Military Officer Engagement Services</w:t>
      </w:r>
    </w:p>
    <w:p>
      <w:pPr>
        <w:pStyle w:val="BodyText"/>
      </w:pPr>
      <w:r>
        <w:t xml:space="preserve">United Arab Emirates — Dubai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QTE-DXB-2025-04782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Emirates Strategic Security &amp; Advisory Group (ESSAG)</w:t>
            </w:r>
          </w:p>
        </w:tc>
      </w:tr>
      <w:tr>
        <w:tc>
          <w:tcPr/>
          <w:p>
            <w:pPr>
              <w:pStyle w:val="Compact"/>
              <w:jc w:val="left"/>
            </w:pPr>
            <w:r>
              <w:t xml:space="preserve">Address:</w:t>
            </w:r>
          </w:p>
        </w:tc>
        <w:tc>
          <w:tcPr/>
          <w:p>
            <w:pPr>
              <w:pStyle w:val="Compact"/>
              <w:jc w:val="left"/>
            </w:pPr>
            <w:r>
              <w:t xml:space="preserve">Tower B, Level 24, Business Bay, Dubai, United Arab Emirates</w:t>
            </w:r>
          </w:p>
        </w:tc>
      </w:tr>
      <w:tr>
        <w:tc>
          <w:tcPr/>
          <w:p>
            <w:pPr>
              <w:pStyle w:val="Compact"/>
              <w:jc w:val="left"/>
            </w:pPr>
            <w:r>
              <w:t xml:space="preserve">Client / Requesting Party:</w:t>
            </w:r>
          </w:p>
        </w:tc>
        <w:tc>
          <w:tcPr/>
          <w:p>
            <w:pPr>
              <w:pStyle w:val="Compact"/>
              <w:jc w:val="left"/>
            </w:pPr>
            <w:r>
              <w:t xml:space="preserve">[Client Name — Corporate / Government Entity], Dubai, United Arab Emirates</w:t>
            </w:r>
          </w:p>
        </w:tc>
      </w:tr>
      <w:tr>
        <w:tc>
          <w:tcPr/>
          <w:p>
            <w:pPr>
              <w:pStyle w:val="Compact"/>
              <w:jc w:val="left"/>
            </w:pPr>
            <w:r>
              <w:t xml:space="preserve">Contact Reference:</w:t>
            </w:r>
          </w:p>
        </w:tc>
        <w:tc>
          <w:tcPr/>
          <w:p>
            <w:pPr>
              <w:pStyle w:val="Compact"/>
              <w:jc w:val="left"/>
            </w:pPr>
            <w:r>
              <w:t xml:space="preserve">Mr. Khalid Al Mansoori — Procurement &amp; Contracts Division</w:t>
            </w:r>
          </w:p>
        </w:tc>
      </w:tr>
    </w:tbl>
    <w:bookmarkStart w:id="21" w:name="purpose-of-this-quotation-estimate"/>
    <w:p>
      <w:pPr>
        <w:pStyle w:val="Heading2"/>
      </w:pPr>
      <w:r>
        <w:t xml:space="preserve">1. Purpose of This Quotation Estimate</w:t>
      </w:r>
    </w:p>
    <w:p>
      <w:pPr>
        <w:pStyle w:val="FirstParagraph"/>
      </w:pPr>
      <w:r>
        <w:t xml:space="preserve">This Quotation Estimate is issued by Emirates Strategic Security &amp; Advisory Group (ESSAG) in response to the formal request submitted by the Client for the professional engagement of a qualified Military Officer to provide security advisory, operational planning, and force-protection services within the jurisdiction of United Arab Emirates Dubai. This document outlines the full scope of services, associated costs, delivery timelines, and contractual terms governing the proposed engagement. All pricing is presented in United Arab Emirates Dirhams (AED) and is subject to the validity period stated above.</w:t>
      </w:r>
    </w:p>
    <w:bookmarkEnd w:id="21"/>
    <w:bookmarkStart w:id="22" w:name="Xb48e5c6dbf756dff8d457156b9491e25836a9e1"/>
    <w:p>
      <w:pPr>
        <w:pStyle w:val="Heading2"/>
      </w:pPr>
      <w:r>
        <w:t xml:space="preserve">2. Scope of Services — Military Officer Engagement</w:t>
      </w:r>
    </w:p>
    <w:p>
      <w:pPr>
        <w:pStyle w:val="FirstParagraph"/>
      </w:pPr>
      <w:r>
        <w:t xml:space="preserve">The following services are encompassed under this Quotation Estimate for the deployment and utilization of a Military Officer in Dubai, United Arab Emirates:</w:t>
      </w:r>
    </w:p>
    <w:p>
      <w:pPr>
        <w:numPr>
          <w:ilvl w:val="0"/>
          <w:numId w:val="1001"/>
        </w:numPr>
        <w:pStyle w:val="Compact"/>
      </w:pPr>
      <w:r>
        <w:rPr>
          <w:bCs/>
          <w:b/>
        </w:rPr>
        <w:t xml:space="preserve">Security Advisory &amp; Threat Assessment:</w:t>
      </w:r>
      <w:r>
        <w:t xml:space="preserve"> </w:t>
      </w:r>
      <w:r>
        <w:t xml:space="preserve">The Military Officer shall conduct comprehensive threat assessments, vulnerability analyses, and risk-mitigation planning for the Client's facilities, personnel, and operations located in Dubai, United Arab Emirates. This includes quarterly threat briefings and real-time advisory during high-risk periods.</w:t>
      </w:r>
    </w:p>
    <w:p>
      <w:pPr>
        <w:numPr>
          <w:ilvl w:val="0"/>
          <w:numId w:val="1001"/>
        </w:numPr>
        <w:pStyle w:val="Compact"/>
      </w:pPr>
      <w:r>
        <w:rPr>
          <w:bCs/>
          <w:b/>
        </w:rPr>
        <w:t xml:space="preserve">Force Protection &amp; Close Protection Planning:</w:t>
      </w:r>
      <w:r>
        <w:t xml:space="preserve"> </w:t>
      </w:r>
      <w:r>
        <w:t xml:space="preserve">Development and implementation of layered force-protection protocols for VIP movements, corporate events, and diplomatic functions within the Dubai metropolitan area and across the wider United Arab Emirates as required.</w:t>
      </w:r>
    </w:p>
    <w:p>
      <w:pPr>
        <w:numPr>
          <w:ilvl w:val="0"/>
          <w:numId w:val="1001"/>
        </w:numPr>
        <w:pStyle w:val="Compact"/>
      </w:pPr>
      <w:r>
        <w:rPr>
          <w:bCs/>
          <w:b/>
        </w:rPr>
        <w:t xml:space="preserve">Operational Training &amp; Readiness:</w:t>
      </w:r>
      <w:r>
        <w:t xml:space="preserve"> </w:t>
      </w:r>
      <w:r>
        <w:t xml:space="preserve">The Military Officer shall design and deliver structured training programmes for the Client's in-house security teams, covering tactical response, emergency evacuation, crisis management, and counter-surveillance techniques aligned with United Arab Emirates national security standards.</w:t>
      </w:r>
    </w:p>
    <w:p>
      <w:pPr>
        <w:numPr>
          <w:ilvl w:val="0"/>
          <w:numId w:val="1001"/>
        </w:numPr>
        <w:pStyle w:val="Compact"/>
      </w:pPr>
      <w:r>
        <w:rPr>
          <w:bCs/>
          <w:b/>
        </w:rPr>
        <w:t xml:space="preserve">Event Security Command:</w:t>
      </w:r>
      <w:r>
        <w:t xml:space="preserve"> </w:t>
      </w:r>
      <w:r>
        <w:t xml:space="preserve">On-site command and coordination of security operations for corporate summits, government delegations, and large-scale public events held in Dubai, ensuring compliance with Dubai Police and Federal Authority regulations.</w:t>
      </w:r>
    </w:p>
    <w:p>
      <w:pPr>
        <w:numPr>
          <w:ilvl w:val="0"/>
          <w:numId w:val="1001"/>
        </w:numPr>
        <w:pStyle w:val="Compact"/>
      </w:pPr>
      <w:r>
        <w:rPr>
          <w:bCs/>
          <w:b/>
        </w:rPr>
        <w:t xml:space="preserve">Strategic Planning &amp; Reporting:</w:t>
      </w:r>
      <w:r>
        <w:t xml:space="preserve"> </w:t>
      </w:r>
      <w:r>
        <w:t xml:space="preserve">Monthly strategic security reports, after-action reviews, and long-term security posture recommendations tailored to the evolving security landscape of the United Arab Emirates and the broader Gulf region.</w:t>
      </w:r>
    </w:p>
    <w:p>
      <w:pPr>
        <w:numPr>
          <w:ilvl w:val="0"/>
          <w:numId w:val="1001"/>
        </w:numPr>
        <w:pStyle w:val="Compact"/>
      </w:pPr>
      <w:r>
        <w:rPr>
          <w:bCs/>
          <w:b/>
        </w:rPr>
        <w:t xml:space="preserve">Regulatory Compliance Liaison:</w:t>
      </w:r>
      <w:r>
        <w:t xml:space="preserve"> </w:t>
      </w:r>
      <w:r>
        <w:t xml:space="preserve">The Military Officer shall serve as the Client's primary liaison with Dubai Police, the General National Security (GNS), and other relevant United Arab Emirates authorities to ensure full regulatory compliance for all security operations.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Cost (AED)</w:t>
            </w:r>
          </w:p>
        </w:tc>
      </w:tr>
      <w:tr>
        <w:tc>
          <w:tcPr/>
          <w:p>
            <w:pPr>
              <w:pStyle w:val="Compact"/>
              <w:jc w:val="left"/>
            </w:pPr>
            <w:r>
              <w:t xml:space="preserve">01</w:t>
            </w:r>
          </w:p>
        </w:tc>
        <w:tc>
          <w:tcPr/>
          <w:p>
            <w:pPr>
              <w:pStyle w:val="Compact"/>
              <w:jc w:val="left"/>
            </w:pPr>
            <w:r>
              <w:t xml:space="preserve">Military Officer — Monthly Retainer (Senior Rank, 20+ years service)</w:t>
            </w:r>
          </w:p>
        </w:tc>
        <w:tc>
          <w:tcPr/>
          <w:p>
            <w:pPr>
              <w:pStyle w:val="Compact"/>
              <w:jc w:val="left"/>
            </w:pPr>
            <w:r>
              <w:t xml:space="preserve">12 months</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Threat Assessment &amp; Vulnerability Survey (Initial)</w:t>
            </w:r>
          </w:p>
        </w:tc>
        <w:tc>
          <w:tcPr/>
          <w:p>
            <w:pPr>
              <w:pStyle w:val="Compact"/>
              <w:jc w:val="left"/>
            </w:pPr>
            <w:r>
              <w:t xml:space="preserve">One-time</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Force Protection Protocol Development &amp; Implementation</w:t>
            </w:r>
          </w:p>
        </w:tc>
        <w:tc>
          <w:tcPr/>
          <w:p>
            <w:pPr>
              <w:pStyle w:val="Compact"/>
              <w:jc w:val="left"/>
            </w:pPr>
            <w:r>
              <w:t xml:space="preserve">One-time</w:t>
            </w:r>
          </w:p>
        </w:tc>
        <w:tc>
          <w:tcPr/>
          <w:p>
            <w:pPr>
              <w:pStyle w:val="Compact"/>
              <w:jc w:val="left"/>
            </w:pPr>
            <w:r>
              <w:t xml:space="preserve">60,000.00</w:t>
            </w:r>
          </w:p>
        </w:tc>
      </w:tr>
      <w:tr>
        <w:tc>
          <w:tcPr/>
          <w:p>
            <w:pPr>
              <w:pStyle w:val="Compact"/>
              <w:jc w:val="left"/>
            </w:pPr>
            <w:r>
              <w:t xml:space="preserve">04</w:t>
            </w:r>
          </w:p>
        </w:tc>
        <w:tc>
          <w:tcPr/>
          <w:p>
            <w:pPr>
              <w:pStyle w:val="Compact"/>
              <w:jc w:val="left"/>
            </w:pPr>
            <w:r>
              <w:t xml:space="preserve">Tactical Training Programme (4 sessions per quarter)</w:t>
            </w:r>
          </w:p>
        </w:tc>
        <w:tc>
          <w:tcPr/>
          <w:p>
            <w:pPr>
              <w:pStyle w:val="Compact"/>
              <w:jc w:val="left"/>
            </w:pPr>
            <w:r>
              <w:t xml:space="preserve">12 months</w:t>
            </w:r>
          </w:p>
        </w:tc>
        <w:tc>
          <w:tcPr/>
          <w:p>
            <w:pPr>
              <w:pStyle w:val="Compact"/>
              <w:jc w:val="left"/>
            </w:pPr>
            <w:r>
              <w:t xml:space="preserve">96,000.00</w:t>
            </w:r>
          </w:p>
        </w:tc>
      </w:tr>
      <w:tr>
        <w:tc>
          <w:tcPr/>
          <w:p>
            <w:pPr>
              <w:pStyle w:val="Compact"/>
              <w:jc w:val="left"/>
            </w:pPr>
            <w:r>
              <w:t xml:space="preserve">05</w:t>
            </w:r>
          </w:p>
        </w:tc>
        <w:tc>
          <w:tcPr/>
          <w:p>
            <w:pPr>
              <w:pStyle w:val="Compact"/>
              <w:jc w:val="left"/>
            </w:pPr>
            <w:r>
              <w:t xml:space="preserve">Event Security Command (up to 12 events per year)</w:t>
            </w:r>
          </w:p>
        </w:tc>
        <w:tc>
          <w:tcPr/>
          <w:p>
            <w:pPr>
              <w:pStyle w:val="Compact"/>
              <w:jc w:val="left"/>
            </w:pPr>
            <w:r>
              <w:t xml:space="preserve">12 months</w:t>
            </w:r>
          </w:p>
        </w:tc>
        <w:tc>
          <w:tcPr/>
          <w:p>
            <w:pPr>
              <w:pStyle w:val="Compact"/>
              <w:jc w:val="left"/>
            </w:pPr>
            <w:r>
              <w:t xml:space="preserve">120,000.00</w:t>
            </w:r>
          </w:p>
        </w:tc>
      </w:tr>
      <w:tr>
        <w:tc>
          <w:tcPr/>
          <w:p>
            <w:pPr>
              <w:pStyle w:val="Compact"/>
              <w:jc w:val="left"/>
            </w:pPr>
            <w:r>
              <w:t xml:space="preserve">06</w:t>
            </w:r>
          </w:p>
        </w:tc>
        <w:tc>
          <w:tcPr/>
          <w:p>
            <w:pPr>
              <w:pStyle w:val="Compact"/>
              <w:jc w:val="left"/>
            </w:pPr>
            <w:r>
              <w:t xml:space="preserve">Strategic Reporting &amp; Advisory (Monthly)</w:t>
            </w:r>
          </w:p>
        </w:tc>
        <w:tc>
          <w:tcPr/>
          <w:p>
            <w:pPr>
              <w:pStyle w:val="Compact"/>
              <w:jc w:val="left"/>
            </w:pPr>
            <w:r>
              <w:t xml:space="preserve">12 months</w:t>
            </w:r>
          </w:p>
        </w:tc>
        <w:tc>
          <w:tcPr/>
          <w:p>
            <w:pPr>
              <w:pStyle w:val="Compact"/>
              <w:jc w:val="left"/>
            </w:pPr>
            <w:r>
              <w:t xml:space="preserve">36,000.00</w:t>
            </w:r>
          </w:p>
        </w:tc>
      </w:tr>
      <w:tr>
        <w:tc>
          <w:tcPr/>
          <w:p>
            <w:pPr>
              <w:pStyle w:val="Compact"/>
              <w:jc w:val="left"/>
            </w:pPr>
            <w:r>
              <w:t xml:space="preserve">07</w:t>
            </w:r>
          </w:p>
        </w:tc>
        <w:tc>
          <w:tcPr/>
          <w:p>
            <w:pPr>
              <w:pStyle w:val="Compact"/>
              <w:jc w:val="left"/>
            </w:pPr>
            <w:r>
              <w:t xml:space="preserve">Regulatory Compliance &amp; Authority Liaison</w:t>
            </w:r>
          </w:p>
        </w:tc>
        <w:tc>
          <w:tcPr/>
          <w:p>
            <w:pPr>
              <w:pStyle w:val="Compact"/>
              <w:jc w:val="left"/>
            </w:pPr>
            <w:r>
              <w:t xml:space="preserve">12 months</w:t>
            </w:r>
          </w:p>
        </w:tc>
        <w:tc>
          <w:tcPr/>
          <w:p>
            <w:pPr>
              <w:pStyle w:val="Compact"/>
              <w:jc w:val="left"/>
            </w:pPr>
            <w:r>
              <w:t xml:space="preserve">24,000.00</w:t>
            </w:r>
          </w:p>
        </w:tc>
      </w:tr>
      <w:tr>
        <w:tc>
          <w:tcPr/>
          <w:p>
            <w:pPr>
              <w:pStyle w:val="Compact"/>
              <w:jc w:val="left"/>
            </w:pPr>
            <w:r>
              <w:t xml:space="preserve">08</w:t>
            </w:r>
          </w:p>
        </w:tc>
        <w:tc>
          <w:tcPr/>
          <w:p>
            <w:pPr>
              <w:pStyle w:val="Compact"/>
              <w:jc w:val="left"/>
            </w:pPr>
            <w:r>
              <w:t xml:space="preserve">Communication Equipment &amp; Secure Channel Setup</w:t>
            </w:r>
          </w:p>
        </w:tc>
        <w:tc>
          <w:tcPr/>
          <w:p>
            <w:pPr>
              <w:pStyle w:val="Compact"/>
              <w:jc w:val="left"/>
            </w:pPr>
            <w:r>
              <w:t xml:space="preserve">One-time</w:t>
            </w:r>
          </w:p>
        </w:tc>
        <w:tc>
          <w:tcPr/>
          <w:p>
            <w:pPr>
              <w:pStyle w:val="Compact"/>
              <w:jc w:val="left"/>
            </w:pPr>
            <w:r>
              <w:t xml:space="preserve">18,500.00</w:t>
            </w:r>
          </w:p>
        </w:tc>
      </w:tr>
      <w:tr>
        <w:tc>
          <w:tcPr/>
          <w:p>
            <w:pPr>
              <w:pStyle w:val="Compact"/>
              <w:jc w:val="left"/>
            </w:pPr>
            <w:r>
              <w:t xml:space="preserve">09</w:t>
            </w:r>
          </w:p>
        </w:tc>
        <w:tc>
          <w:tcPr/>
          <w:p>
            <w:pPr>
              <w:pStyle w:val="Compact"/>
              <w:jc w:val="left"/>
            </w:pPr>
            <w:r>
              <w:t xml:space="preserve">Travel, Accommodation &amp; Logistics (Military Officer, Dubai)</w:t>
            </w:r>
          </w:p>
        </w:tc>
        <w:tc>
          <w:tcPr/>
          <w:p>
            <w:pPr>
              <w:pStyle w:val="Compact"/>
              <w:jc w:val="left"/>
            </w:pPr>
            <w:r>
              <w:t xml:space="preserve">12 months</w:t>
            </w:r>
          </w:p>
        </w:tc>
        <w:tc>
          <w:tcPr/>
          <w:p>
            <w:pPr>
              <w:pStyle w:val="Compact"/>
              <w:jc w:val="left"/>
            </w:pPr>
            <w:r>
              <w:t xml:space="preserve">54,000.00</w:t>
            </w:r>
          </w:p>
        </w:tc>
      </w:tr>
      <w:tr>
        <w:tc>
          <w:tcPr/>
          <w:p>
            <w:pPr>
              <w:pStyle w:val="Compact"/>
              <w:jc w:val="left"/>
            </w:pPr>
            <w:r>
              <w:t xml:space="preserve">10</w:t>
            </w:r>
          </w:p>
        </w:tc>
        <w:tc>
          <w:tcPr/>
          <w:p>
            <w:pPr>
              <w:pStyle w:val="Compact"/>
              <w:jc w:val="left"/>
            </w:pPr>
            <w:r>
              <w:t xml:space="preserve">Contingency &amp; Emergency Response Reserve (10%)</w:t>
            </w:r>
          </w:p>
        </w:tc>
        <w:tc>
          <w:tcPr/>
          <w:p>
            <w:pPr>
              <w:pStyle w:val="Compact"/>
              <w:jc w:val="left"/>
            </w:pPr>
            <w:r>
              <w:t xml:space="preserve">12 months</w:t>
            </w:r>
          </w:p>
        </w:tc>
        <w:tc>
          <w:tcPr/>
          <w:p>
            <w:pPr>
              <w:pStyle w:val="Compact"/>
              <w:jc w:val="left"/>
            </w:pPr>
            <w:r>
              <w:t xml:space="preserve">63,350.00</w:t>
            </w:r>
          </w:p>
        </w:tc>
      </w:tr>
      <w:tr>
        <w:tc>
          <w:tcPr>
            <w:gridSpan w:val="3"/>
          </w:tcPr>
          <w:p>
            <w:pPr>
              <w:pStyle w:val="Compact"/>
              <w:jc w:val="left"/>
            </w:pPr>
            <w:r>
              <w:t xml:space="preserve">TOTAL ESTIMATED COST (AED)</w:t>
            </w:r>
          </w:p>
        </w:tc>
        <w:tc>
          <w:tcPr/>
          <w:p>
            <w:pPr>
              <w:pStyle w:val="Compact"/>
              <w:jc w:val="left"/>
            </w:pPr>
            <w:r>
              <w:t xml:space="preserve">696,850.00</w:t>
            </w:r>
          </w:p>
        </w:tc>
      </w:tr>
      <w:tr>
        <w:tc>
          <w:tcPr>
            <w:gridSpan w:val="3"/>
          </w:tcPr>
          <w:p>
            <w:pPr>
              <w:pStyle w:val="Compact"/>
              <w:jc w:val="left"/>
            </w:pPr>
            <w:r>
              <w:t xml:space="preserve">VAT (5% — United Arab Emirates Federal Tax Authority)</w:t>
            </w:r>
          </w:p>
        </w:tc>
        <w:tc>
          <w:tcPr/>
          <w:p>
            <w:pPr>
              <w:pStyle w:val="Compact"/>
              <w:jc w:val="left"/>
            </w:pPr>
            <w:r>
              <w:t xml:space="preserve">34,842.50</w:t>
            </w:r>
          </w:p>
        </w:tc>
      </w:tr>
      <w:tr>
        <w:tc>
          <w:tcPr>
            <w:gridSpan w:val="3"/>
          </w:tcPr>
          <w:p>
            <w:pPr>
              <w:pStyle w:val="Compact"/>
              <w:jc w:val="left"/>
            </w:pPr>
            <w:r>
              <w:t xml:space="preserve">GRAND TOTAL (AED)</w:t>
            </w:r>
          </w:p>
        </w:tc>
        <w:tc>
          <w:tcPr/>
          <w:p>
            <w:pPr>
              <w:pStyle w:val="Compact"/>
              <w:jc w:val="left"/>
            </w:pPr>
            <w:r>
              <w:t xml:space="preserve">731,692.50</w:t>
            </w:r>
          </w:p>
        </w:tc>
      </w:tr>
    </w:tbl>
    <w:bookmarkEnd w:id="23"/>
    <w:bookmarkStart w:id="24" w:name="payment-terms"/>
    <w:p>
      <w:pPr>
        <w:pStyle w:val="Heading2"/>
      </w:pPr>
      <w:r>
        <w:t xml:space="preserve">4. Payment Terms</w:t>
      </w:r>
    </w:p>
    <w:p>
      <w:pPr>
        <w:pStyle w:val="FirstParagraph"/>
      </w:pPr>
      <w:r>
        <w:t xml:space="preserve">Payment for this Quotation Estimate shall be structured as follows: 30% advance payment upon contract execution, 40% payable at the six-month milestone, and 30% upon successful completion of the twelve-month engagement period. All payments shall be made via bank transfer to the designated account of Emirates Strategic Security &amp; Advisory Group, Dubai, United Arab Emirates. Invoices are due within fourteen (14) calendar days of issuance. Late payments shall attract a penalty of 2% per month as per United Arab Emirates commercial law.</w:t>
      </w:r>
    </w:p>
    <w:bookmarkEnd w:id="24"/>
    <w:bookmarkStart w:id="25" w:name="terms-conditions"/>
    <w:p>
      <w:pPr>
        <w:pStyle w:val="Heading2"/>
      </w:pPr>
      <w:r>
        <w:t xml:space="preserve">5. Terms &amp; Conditions</w:t>
      </w:r>
    </w:p>
    <w:p>
      <w:pPr>
        <w:pStyle w:val="FirstParagraph"/>
      </w:pPr>
      <w:r>
        <w:t xml:space="preserve">5.1. This Quotation Estimate is valid for thirty (30) calendar days from the date of issue. Beyond this period, pricing and availability of the specified Military Officer are subject to revision.</w:t>
      </w:r>
    </w:p>
    <w:p>
      <w:pPr>
        <w:pStyle w:val="BodyText"/>
      </w:pPr>
      <w:r>
        <w:t xml:space="preserve">5.2. The Military Officer engaged under this Quotation Estimate shall hold a valid UAE residence visa, security clearance, and all necessary permits issued by the relevant United Arab Emirates authorities. ESSAG guarantees full compliance with Federal Law No. 1 of 2007 on Private Security and all Dubai-specific regulations.</w:t>
      </w:r>
    </w:p>
    <w:p>
      <w:pPr>
        <w:pStyle w:val="BodyText"/>
      </w:pPr>
      <w:r>
        <w:t xml:space="preserve">5.3. The Client acknowledges that the Military Officer shall operate under the direct operational authority of the Client's designated security director while remaining contractually bound to ESSAG.</w:t>
      </w:r>
    </w:p>
    <w:p>
      <w:pPr>
        <w:pStyle w:val="BodyText"/>
      </w:pPr>
      <w:r>
        <w:t xml:space="preserve">5.4. All information, reports, and strategic documents produced under this engagement are classified as confidential and proprietary to the Client. ESSAG and the Military Officer shall be bound by a Non-Disclosure Agreement (NDA) executed prior to commencement of services.</w:t>
      </w:r>
    </w:p>
    <w:p>
      <w:pPr>
        <w:pStyle w:val="BodyText"/>
      </w:pPr>
      <w:r>
        <w:t xml:space="preserve">5.5. This Quotation Estimate does not constitute a binding contract until formally accepted in writing by both parties and countersigned by authorized representatives.</w:t>
      </w:r>
    </w:p>
    <w:p>
      <w:pPr>
        <w:pStyle w:val="BodyText"/>
      </w:pPr>
      <w:r>
        <w:t xml:space="preserve">5.6. Any disputes arising from this engagement shall be resolved through arbitration in Dubai, United Arab Emirates, in accordance with the rules of the Dubai International Arbitration Centre (DIAC).</w:t>
      </w:r>
    </w:p>
    <w:p>
      <w:pPr>
        <w:pStyle w:val="BodyText"/>
      </w:pPr>
      <w:r>
        <w:t xml:space="preserve">5.7. ESSAG reserves the right to substitute the assigned Military Officer with a candidate of equivalent or superior rank and experience, subject to prior written approval by the Client.</w:t>
      </w:r>
    </w:p>
    <w:bookmarkEnd w:id="25"/>
    <w:bookmarkStart w:id="26" w:name="acceptance-authorization"/>
    <w:p>
      <w:pPr>
        <w:pStyle w:val="Heading2"/>
      </w:pPr>
      <w:r>
        <w:t xml:space="preserve">6. Acceptance &amp; Authorization</w:t>
      </w:r>
    </w:p>
    <w:p>
      <w:pPr>
        <w:pStyle w:val="FirstParagraph"/>
      </w:pPr>
      <w:r>
        <w:t xml:space="preserve">By signing below, the Client confirms acceptance of this Quotation Estimate for the engagement of a Military Officer in United Arab Emirates Dubai, and agrees to all terms, conditions, and cost structures outlined herein.</w:t>
      </w:r>
    </w:p>
    <w:p>
      <w:pPr>
        <w:pStyle w:val="BodyText"/>
      </w:pPr>
      <w:r>
        <w:rPr>
          <w:bCs/>
          <w:b/>
        </w:rPr>
        <w:t xml:space="preserve">For: Emirates Strategic Security &amp; Advisory Group</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No. QTE-DXB-2025-04782 — Emirates Strategic Security &amp; Advisory Group — Dubai, United Arab Emirates</w:t>
      </w:r>
      <w:r>
        <w:br/>
      </w:r>
      <w:r>
        <w:t xml:space="preserve">This document is the property of ESSAG and is intended solely for the named Client. Unauthorized reproduction or distribution is prohibited under United Arab Emirates intellectual property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United Arab Emirates Dubai</dc:title>
  <dc:creator/>
  <dc:language>en</dc:language>
  <cp:keywords/>
  <dcterms:created xsi:type="dcterms:W3CDTF">2026-10-10T04:41:38Z</dcterms:created>
  <dcterms:modified xsi:type="dcterms:W3CDTF">2026-10-10T04:41:38Z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