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Musician Services — Iran Tehran</w:t>
      </w:r>
    </w:p>
    <w:p>
      <w:pPr>
        <w:pStyle w:val="BodyText"/>
      </w:pPr>
      <w:r>
        <w:t xml:space="preserve">Document No: QTE-TEH-2025-0472</w:t>
      </w:r>
    </w:p>
    <w:bookmarkEnd w:id="20"/>
    <w:p>
      <w:pPr>
        <w:pStyle w:val="BodyText"/>
      </w:pPr>
      <w:r>
        <w:rPr>
          <w:bCs/>
          <w:b/>
        </w:rPr>
        <w:t xml:space="preserve">Prepared By:</w:t>
      </w:r>
      <w:r>
        <w:t xml:space="preserve"> </w:t>
      </w:r>
      <w:r>
        <w:t xml:space="preserve">Melody Arts &amp; Performance Services Co.</w:t>
      </w:r>
      <w:r>
        <w:br/>
      </w:r>
      <w:r>
        <w:t xml:space="preserve">Address: Valiasr Street, District 1, Tehran, Iran</w:t>
      </w:r>
      <w:r>
        <w:br/>
      </w:r>
      <w:r>
        <w:t xml:space="preserve">Phone: +98 21 8876 5432</w:t>
      </w:r>
      <w:r>
        <w:br/>
      </w:r>
      <w:r>
        <w:t xml:space="preserve">Email: quotes@melodyarts-iran.com</w:t>
      </w:r>
    </w:p>
    <w:p>
      <w:pPr>
        <w:pStyle w:val="BodyText"/>
      </w:pPr>
      <w:r>
        <w:rPr>
          <w:bCs/>
          <w:b/>
        </w:rPr>
        <w:t xml:space="preserve">Prepared For:</w:t>
      </w:r>
      <w:r>
        <w:t xml:space="preserve"> </w:t>
      </w:r>
      <w:r>
        <w:t xml:space="preserve">[Client Name / Organization]</w:t>
      </w:r>
      <w:r>
        <w:br/>
      </w:r>
      <w:r>
        <w:t xml:space="preserve">Address: [Client Address], Tehran, Iran</w:t>
      </w:r>
      <w:r>
        <w:br/>
      </w:r>
      <w:r>
        <w:t xml:space="preserve">Phone: [Client Phone]</w:t>
      </w:r>
      <w:r>
        <w:br/>
      </w:r>
      <w:r>
        <w:t xml:space="preserve">Email: [Client Email]</w:t>
      </w:r>
    </w:p>
    <w:p>
      <w:pPr>
        <w:pStyle w:val="BodyText"/>
      </w:pPr>
      <w:r>
        <w:rPr>
          <w:bCs/>
          <w:b/>
        </w:rPr>
        <w:t xml:space="preserve">Date of Quotation:</w:t>
      </w:r>
      <w:r>
        <w:t xml:space="preserve"> </w:t>
      </w:r>
      <w:r>
        <w:t xml:space="preserve">15 June 2025</w:t>
      </w:r>
    </w:p>
    <w:p>
      <w:pPr>
        <w:pStyle w:val="BodyText"/>
      </w:pPr>
      <w:r>
        <w:rPr>
          <w:bCs/>
          <w:b/>
        </w:rPr>
        <w:t xml:space="preserve">Quotation Valid Until:</w:t>
      </w:r>
      <w:r>
        <w:t xml:space="preserve"> </w:t>
      </w:r>
      <w:r>
        <w:t xml:space="preserve">15 July 2025 (30 days)</w:t>
      </w:r>
    </w:p>
    <w:bookmarkStart w:id="21" w:name="X0bcd76a0b36d57d41b696de706fa2362e9560e0"/>
    <w:p>
      <w:pPr>
        <w:pStyle w:val="Heading2"/>
      </w:pPr>
      <w:r>
        <w:t xml:space="preserve">1. Scope of Services — Musician Engagement in Iran Tehran</w:t>
      </w:r>
    </w:p>
    <w:p>
      <w:pPr>
        <w:pStyle w:val="FirstParagraph"/>
      </w:pPr>
      <w:r>
        <w:t xml:space="preserve">This Quotation Estimate is issued by Melody Arts &amp; Performance Services Co. to provide a comprehensive and transparent cost breakdown for the engagement of a professional Musician for events, performances, and recording sessions to be conducted within the metropolitan area of Tehran, Iran. The Musician services outlined in this document encompass a wide range of musical disciplines, including but not limited to traditional Persian classical music (Dastgah), contemporary Iranian pop and rock arrangements, orchestral accompaniment, solo instrumental performances, and vocal engagements. All services are tailored to meet the cultural and artistic standards expected in Iran Tehran's vibrant entertainment and corporate event landscape.</w:t>
      </w:r>
    </w:p>
    <w:p>
      <w:pPr>
        <w:pStyle w:val="BodyText"/>
      </w:pPr>
      <w:r>
        <w:t xml:space="preserve">The Musician(s) proposed under this Quotation Estimate are vetted professionals with verified credentials, extensive performance experience in venues across Tehran, and full compliance with the cultural and regulatory guidelines governing live musical performances in the Islamic Republic of Iran. The Quotation Estimate reflects current market rates for Musician services in Iran Tehran as of the date of issuance.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(IRR)</w:t>
            </w:r>
          </w:p>
        </w:tc>
        <w:tc>
          <w:tcPr/>
          <w:p>
            <w:pPr>
              <w:pStyle w:val="Compact"/>
              <w:jc w:val="left"/>
            </w:pPr>
            <w:r>
              <w:t xml:space="preserve">Subtotal (IRR)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Musician — Traditional Persian Classical Performance (Setar, Tar, or Santur)</w:t>
            </w:r>
          </w:p>
        </w:tc>
        <w:tc>
          <w:tcPr/>
          <w:p>
            <w:pPr>
              <w:pStyle w:val="Compact"/>
              <w:jc w:val="left"/>
            </w:pPr>
            <w:r>
              <w:t xml:space="preserve">4 hours</w:t>
            </w:r>
          </w:p>
        </w:tc>
        <w:tc>
          <w:tcPr/>
          <w:p>
            <w:pPr>
              <w:pStyle w:val="Compact"/>
              <w:jc w:val="left"/>
            </w:pPr>
            <w:r>
              <w:t xml:space="preserve">2,500,000</w:t>
            </w:r>
          </w:p>
        </w:tc>
        <w:tc>
          <w:tcPr/>
          <w:p>
            <w:pPr>
              <w:pStyle w:val="Compact"/>
              <w:jc w:val="left"/>
            </w:pPr>
            <w:r>
              <w:t xml:space="preserve">10,000,000</w:t>
            </w:r>
          </w:p>
        </w:tc>
        <w:tc>
          <w:tcPr/>
          <w:p>
            <w:pPr>
              <w:pStyle w:val="Compact"/>
              <w:jc w:val="left"/>
            </w:pPr>
            <w:r>
              <w:t xml:space="preserve">Includes sound check</w:t>
            </w:r>
          </w:p>
        </w:tc>
      </w:tr>
      <w:tr>
        <w:tc>
          <w:tcPr/>
          <w:p>
            <w:pPr>
              <w:pStyle w:val="Compact"/>
              <w:jc w:val="left"/>
            </w:pPr>
            <w:r>
              <w:t xml:space="preserve">2</w:t>
            </w:r>
          </w:p>
        </w:tc>
        <w:tc>
          <w:tcPr/>
          <w:p>
            <w:pPr>
              <w:pStyle w:val="Compact"/>
              <w:jc w:val="left"/>
            </w:pPr>
            <w:r>
              <w:t xml:space="preserve">Supporting Musician — Percussion (Daf, Tombak, or Davul)</w:t>
            </w:r>
          </w:p>
        </w:tc>
        <w:tc>
          <w:tcPr/>
          <w:p>
            <w:pPr>
              <w:pStyle w:val="Compact"/>
              <w:jc w:val="left"/>
            </w:pPr>
            <w:r>
              <w:t xml:space="preserve">4 hours</w:t>
            </w:r>
          </w:p>
        </w:tc>
        <w:tc>
          <w:tcPr/>
          <w:p>
            <w:pPr>
              <w:pStyle w:val="Compact"/>
              <w:jc w:val="left"/>
            </w:pPr>
            <w:r>
              <w:t xml:space="preserve">1,800,000</w:t>
            </w:r>
          </w:p>
        </w:tc>
        <w:tc>
          <w:tcPr/>
          <w:p>
            <w:pPr>
              <w:pStyle w:val="Compact"/>
              <w:jc w:val="left"/>
            </w:pPr>
            <w:r>
              <w:t xml:space="preserve">7,200,000</w:t>
            </w:r>
          </w:p>
        </w:tc>
        <w:tc>
          <w:tcPr/>
          <w:p>
            <w:pPr>
              <w:pStyle w:val="Compact"/>
              <w:jc w:val="left"/>
            </w:pPr>
            <w:r>
              <w:t xml:space="preserve">One (1) musician</w:t>
            </w:r>
          </w:p>
        </w:tc>
      </w:tr>
      <w:tr>
        <w:tc>
          <w:tcPr/>
          <w:p>
            <w:pPr>
              <w:pStyle w:val="Compact"/>
              <w:jc w:val="left"/>
            </w:pPr>
            <w:r>
              <w:t xml:space="preserve">3</w:t>
            </w:r>
          </w:p>
        </w:tc>
        <w:tc>
          <w:tcPr/>
          <w:p>
            <w:pPr>
              <w:pStyle w:val="Compact"/>
              <w:jc w:val="left"/>
            </w:pPr>
            <w:r>
              <w:t xml:space="preserve">Supporting Musician — String (Kamancheh or Violin)</w:t>
            </w:r>
          </w:p>
        </w:tc>
        <w:tc>
          <w:tcPr/>
          <w:p>
            <w:pPr>
              <w:pStyle w:val="Compact"/>
              <w:jc w:val="left"/>
            </w:pPr>
            <w:r>
              <w:t xml:space="preserve">4 hours</w:t>
            </w:r>
          </w:p>
        </w:tc>
        <w:tc>
          <w:tcPr/>
          <w:p>
            <w:pPr>
              <w:pStyle w:val="Compact"/>
              <w:jc w:val="left"/>
            </w:pPr>
            <w:r>
              <w:t xml:space="preserve">1,800,000</w:t>
            </w:r>
          </w:p>
        </w:tc>
        <w:tc>
          <w:tcPr/>
          <w:p>
            <w:pPr>
              <w:pStyle w:val="Compact"/>
              <w:jc w:val="left"/>
            </w:pPr>
            <w:r>
              <w:t xml:space="preserve">7,200,000</w:t>
            </w:r>
          </w:p>
        </w:tc>
        <w:tc>
          <w:tcPr/>
          <w:p>
            <w:pPr>
              <w:pStyle w:val="Compact"/>
              <w:jc w:val="left"/>
            </w:pPr>
            <w:r>
              <w:t xml:space="preserve">One (1) musician</w:t>
            </w:r>
          </w:p>
        </w:tc>
      </w:tr>
      <w:tr>
        <w:tc>
          <w:tcPr/>
          <w:p>
            <w:pPr>
              <w:pStyle w:val="Compact"/>
              <w:jc w:val="left"/>
            </w:pPr>
            <w:r>
              <w:t xml:space="preserve">4</w:t>
            </w:r>
          </w:p>
        </w:tc>
        <w:tc>
          <w:tcPr/>
          <w:p>
            <w:pPr>
              <w:pStyle w:val="Compact"/>
              <w:jc w:val="left"/>
            </w:pPr>
            <w:r>
              <w:t xml:space="preserve">Vocal Musician — Lead Singer (Persian Classical or Contemporary)</w:t>
            </w:r>
          </w:p>
        </w:tc>
        <w:tc>
          <w:tcPr/>
          <w:p>
            <w:pPr>
              <w:pStyle w:val="Compact"/>
              <w:jc w:val="left"/>
            </w:pPr>
            <w:r>
              <w:t xml:space="preserve">4 hours</w:t>
            </w:r>
          </w:p>
        </w:tc>
        <w:tc>
          <w:tcPr/>
          <w:p>
            <w:pPr>
              <w:pStyle w:val="Compact"/>
              <w:jc w:val="left"/>
            </w:pPr>
            <w:r>
              <w:t xml:space="preserve">3,200,000</w:t>
            </w:r>
          </w:p>
        </w:tc>
        <w:tc>
          <w:tcPr/>
          <w:p>
            <w:pPr>
              <w:pStyle w:val="Compact"/>
              <w:jc w:val="left"/>
            </w:pPr>
            <w:r>
              <w:t xml:space="preserve">12,800,000</w:t>
            </w:r>
          </w:p>
        </w:tc>
        <w:tc>
          <w:tcPr/>
          <w:p>
            <w:pPr>
              <w:pStyle w:val="Compact"/>
              <w:jc w:val="left"/>
            </w:pPr>
            <w:r>
              <w:t xml:space="preserve">Includes vocal warm-up</w:t>
            </w:r>
          </w:p>
        </w:tc>
      </w:tr>
      <w:tr>
        <w:tc>
          <w:tcPr/>
          <w:p>
            <w:pPr>
              <w:pStyle w:val="Compact"/>
              <w:jc w:val="left"/>
            </w:pPr>
            <w:r>
              <w:t xml:space="preserve">5</w:t>
            </w:r>
          </w:p>
        </w:tc>
        <w:tc>
          <w:tcPr/>
          <w:p>
            <w:pPr>
              <w:pStyle w:val="Compact"/>
              <w:jc w:val="left"/>
            </w:pPr>
            <w:r>
              <w:t xml:space="preserve">Musician Rehearsal Session (Pre-Event, at Tehran venue)</w:t>
            </w:r>
          </w:p>
        </w:tc>
        <w:tc>
          <w:tcPr/>
          <w:p>
            <w:pPr>
              <w:pStyle w:val="Compact"/>
              <w:jc w:val="left"/>
            </w:pPr>
            <w:r>
              <w:t xml:space="preserve">2 hours</w:t>
            </w:r>
          </w:p>
        </w:tc>
        <w:tc>
          <w:tcPr/>
          <w:p>
            <w:pPr>
              <w:pStyle w:val="Compact"/>
              <w:jc w:val="left"/>
            </w:pPr>
            <w:r>
              <w:t xml:space="preserve">1,500,000</w:t>
            </w:r>
          </w:p>
        </w:tc>
        <w:tc>
          <w:tcPr/>
          <w:p>
            <w:pPr>
              <w:pStyle w:val="Compact"/>
              <w:jc w:val="left"/>
            </w:pPr>
            <w:r>
              <w:t xml:space="preserve">3,000,000</w:t>
            </w:r>
          </w:p>
        </w:tc>
        <w:tc>
          <w:tcPr/>
          <w:p>
            <w:pPr>
              <w:pStyle w:val="Compact"/>
              <w:jc w:val="left"/>
            </w:pPr>
            <w:r>
              <w:t xml:space="preserve">Full ensemble</w:t>
            </w:r>
          </w:p>
        </w:tc>
      </w:tr>
      <w:tr>
        <w:tc>
          <w:tcPr/>
          <w:p>
            <w:pPr>
              <w:pStyle w:val="Compact"/>
              <w:jc w:val="left"/>
            </w:pPr>
            <w:r>
              <w:t xml:space="preserve">6</w:t>
            </w:r>
          </w:p>
        </w:tc>
        <w:tc>
          <w:tcPr/>
          <w:p>
            <w:pPr>
              <w:pStyle w:val="Compact"/>
              <w:jc w:val="left"/>
            </w:pPr>
            <w:r>
              <w:t xml:space="preserve">Sound Engineering &amp; Stage Setup (Tehran venue)</w:t>
            </w:r>
          </w:p>
        </w:tc>
        <w:tc>
          <w:tcPr/>
          <w:p>
            <w:pPr>
              <w:pStyle w:val="Compact"/>
              <w:jc w:val="left"/>
            </w:pPr>
            <w:r>
              <w:t xml:space="preserve">1 day</w:t>
            </w:r>
          </w:p>
        </w:tc>
        <w:tc>
          <w:tcPr/>
          <w:p>
            <w:pPr>
              <w:pStyle w:val="Compact"/>
              <w:jc w:val="left"/>
            </w:pPr>
            <w:r>
              <w:t xml:space="preserve">4,000,000</w:t>
            </w:r>
          </w:p>
        </w:tc>
        <w:tc>
          <w:tcPr/>
          <w:p>
            <w:pPr>
              <w:pStyle w:val="Compact"/>
              <w:jc w:val="left"/>
            </w:pPr>
            <w:r>
              <w:t xml:space="preserve">4,000,000</w:t>
            </w:r>
          </w:p>
        </w:tc>
        <w:tc>
          <w:tcPr/>
          <w:p>
            <w:pPr>
              <w:pStyle w:val="Compact"/>
              <w:jc w:val="left"/>
            </w:pPr>
            <w:r>
              <w:t xml:space="preserve">Includes PA system</w:t>
            </w:r>
          </w:p>
        </w:tc>
      </w:tr>
      <w:tr>
        <w:tc>
          <w:tcPr/>
          <w:p>
            <w:pPr>
              <w:pStyle w:val="Compact"/>
              <w:jc w:val="left"/>
            </w:pPr>
            <w:r>
              <w:t xml:space="preserve">7</w:t>
            </w:r>
          </w:p>
        </w:tc>
        <w:tc>
          <w:tcPr/>
          <w:p>
            <w:pPr>
              <w:pStyle w:val="Compact"/>
              <w:jc w:val="left"/>
            </w:pPr>
            <w:r>
              <w:t xml:space="preserve">Travel &amp; Logistics within Tehran Metropolitan Area</w:t>
            </w:r>
          </w:p>
        </w:tc>
        <w:tc>
          <w:tcPr/>
          <w:p>
            <w:pPr>
              <w:pStyle w:val="Compact"/>
              <w:jc w:val="left"/>
            </w:pPr>
            <w:r>
              <w:t xml:space="preserve">Flat rate</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Up to 30 km radius</w:t>
            </w:r>
          </w:p>
        </w:tc>
      </w:tr>
      <w:tr>
        <w:tc>
          <w:tcPr/>
          <w:p>
            <w:pPr>
              <w:pStyle w:val="Compact"/>
              <w:jc w:val="left"/>
            </w:pPr>
            <w:r>
              <w:t xml:space="preserve">8</w:t>
            </w:r>
          </w:p>
        </w:tc>
        <w:tc>
          <w:tcPr/>
          <w:p>
            <w:pPr>
              <w:pStyle w:val="Compact"/>
              <w:jc w:val="left"/>
            </w:pPr>
            <w:r>
              <w:t xml:space="preserve">Custom Arrangement &amp; Composition (Musician-specific)</w:t>
            </w:r>
          </w:p>
        </w:tc>
        <w:tc>
          <w:tcPr/>
          <w:p>
            <w:pPr>
              <w:pStyle w:val="Compact"/>
              <w:jc w:val="left"/>
            </w:pPr>
            <w:r>
              <w:t xml:space="preserve">1 piece</w:t>
            </w:r>
          </w:p>
        </w:tc>
        <w:tc>
          <w:tcPr/>
          <w:p>
            <w:pPr>
              <w:pStyle w:val="Compact"/>
              <w:jc w:val="left"/>
            </w:pPr>
            <w:r>
              <w:t xml:space="preserve">2,000,000</w:t>
            </w:r>
          </w:p>
        </w:tc>
        <w:tc>
          <w:tcPr/>
          <w:p>
            <w:pPr>
              <w:pStyle w:val="Compact"/>
              <w:jc w:val="left"/>
            </w:pPr>
            <w:r>
              <w:t xml:space="preserve">2,000,000</w:t>
            </w:r>
          </w:p>
        </w:tc>
        <w:tc>
          <w:tcPr/>
          <w:p>
            <w:pPr>
              <w:pStyle w:val="Compact"/>
              <w:jc w:val="left"/>
            </w:pPr>
            <w:r>
              <w:t xml:space="preserve">Optional add-on</w:t>
            </w:r>
          </w:p>
        </w:tc>
      </w:tr>
      <w:tr>
        <w:tc>
          <w:tcPr>
            <w:gridSpan w:val="4"/>
          </w:tcPr>
          <w:p>
            <w:pPr>
              <w:pStyle w:val="Compact"/>
              <w:jc w:val="left"/>
            </w:pPr>
            <w:r>
              <w:t xml:space="preserve">TOTAL ESTIMATED COST (Before Tax)</w:t>
            </w:r>
          </w:p>
        </w:tc>
        <w:tc>
          <w:tcPr/>
          <w:p>
            <w:pPr>
              <w:pStyle w:val="Compact"/>
              <w:jc w:val="left"/>
            </w:pPr>
            <w:r>
              <w:t xml:space="preserve">47,200,000 IRR</w:t>
            </w:r>
          </w:p>
        </w:tc>
        <w:tc>
          <w:tcPr/>
          <w:p>
            <w:pPr>
              <w:pStyle w:val="Compact"/>
            </w:pPr>
          </w:p>
        </w:tc>
      </w:tr>
      <w:tr>
        <w:tc>
          <w:tcPr>
            <w:gridSpan w:val="4"/>
          </w:tcPr>
          <w:p>
            <w:pPr>
              <w:pStyle w:val="Compact"/>
              <w:jc w:val="left"/>
            </w:pPr>
            <w:r>
              <w:t xml:space="preserve">VAT (9% — Applicable in Iran)</w:t>
            </w:r>
          </w:p>
        </w:tc>
        <w:tc>
          <w:tcPr/>
          <w:p>
            <w:pPr>
              <w:pStyle w:val="Compact"/>
              <w:jc w:val="left"/>
            </w:pPr>
            <w:r>
              <w:t xml:space="preserve">4,248,000 IRR</w:t>
            </w:r>
          </w:p>
        </w:tc>
        <w:tc>
          <w:tcPr/>
          <w:p>
            <w:pPr>
              <w:pStyle w:val="Compact"/>
            </w:pPr>
          </w:p>
        </w:tc>
      </w:tr>
      <w:tr>
        <w:tc>
          <w:tcPr>
            <w:gridSpan w:val="4"/>
          </w:tcPr>
          <w:p>
            <w:pPr>
              <w:pStyle w:val="Compact"/>
              <w:jc w:val="left"/>
            </w:pPr>
            <w:r>
              <w:t xml:space="preserve">GRAND TOTAL</w:t>
            </w:r>
          </w:p>
        </w:tc>
        <w:tc>
          <w:tcPr/>
          <w:p>
            <w:pPr>
              <w:pStyle w:val="Compact"/>
              <w:jc w:val="left"/>
            </w:pPr>
            <w:r>
              <w:t xml:space="preserve">51,448,000 IRR</w:t>
            </w:r>
          </w:p>
        </w:tc>
        <w:tc>
          <w:tcPr/>
          <w:p>
            <w:pPr>
              <w:pStyle w:val="Compact"/>
            </w:pP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for Musician services in Iran Tehran is valid for thirty (30) calendar days from the date of issue. After this period, rates may be subject to revision based on market conditions in Tehran's entertainment sector.</w:t>
      </w:r>
    </w:p>
    <w:p>
      <w:pPr>
        <w:numPr>
          <w:ilvl w:val="0"/>
          <w:numId w:val="1001"/>
        </w:numPr>
        <w:pStyle w:val="Compact"/>
      </w:pPr>
      <w:r>
        <w:rPr>
          <w:bCs/>
          <w:b/>
        </w:rPr>
        <w:t xml:space="preserve">Payment Terms:</w:t>
      </w:r>
      <w:r>
        <w:t xml:space="preserve"> </w:t>
      </w:r>
      <w:r>
        <w:t xml:space="preserve">A deposit of 40% of the total amount is due upon acceptance of this Quotation Estimate. The remaining 60% shall be settled within seven (7) business days following the completion of the Musician's performance in Tehran.</w:t>
      </w:r>
    </w:p>
    <w:p>
      <w:pPr>
        <w:numPr>
          <w:ilvl w:val="0"/>
          <w:numId w:val="1001"/>
        </w:numPr>
        <w:pStyle w:val="Compact"/>
      </w:pPr>
      <w:r>
        <w:rPr>
          <w:bCs/>
          <w:b/>
        </w:rPr>
        <w:t xml:space="preserve">Currency:</w:t>
      </w:r>
      <w:r>
        <w:t xml:space="preserve"> </w:t>
      </w:r>
      <w:r>
        <w:t xml:space="preserve">All amounts in this Quotation Estimate are denominated in Iranian Rials (IRR). For international clients, equivalent amounts in USD or EUR may be provided upon written request, subject to the prevailing exchange rate at the time of invoicing.</w:t>
      </w:r>
    </w:p>
    <w:p>
      <w:pPr>
        <w:numPr>
          <w:ilvl w:val="0"/>
          <w:numId w:val="1001"/>
        </w:numPr>
        <w:pStyle w:val="Compact"/>
      </w:pPr>
      <w:r>
        <w:rPr>
          <w:bCs/>
          <w:b/>
        </w:rPr>
        <w:t xml:space="preserve">Cancellation Policy:</w:t>
      </w:r>
      <w:r>
        <w:t xml:space="preserve"> </w:t>
      </w:r>
      <w:r>
        <w:t xml:space="preserve">Cancellation by the client more than 14 days before the event incurs a 20% fee. Cancellation between 7 and 14 days incurs a 50% fee. Cancellation within 7 days of the event is non-refundable. The Musician's time and preparation are reserved upon acceptance of this Quotation Estimate.</w:t>
      </w:r>
    </w:p>
    <w:p>
      <w:pPr>
        <w:numPr>
          <w:ilvl w:val="0"/>
          <w:numId w:val="1001"/>
        </w:numPr>
        <w:pStyle w:val="Compact"/>
      </w:pPr>
      <w:r>
        <w:rPr>
          <w:bCs/>
          <w:b/>
        </w:rPr>
        <w:t xml:space="preserve">Venue Requirements:</w:t>
      </w:r>
      <w:r>
        <w:t xml:space="preserve"> </w:t>
      </w:r>
      <w:r>
        <w:t xml:space="preserve">The client is responsible for providing a suitable performance venue in Tehran that meets the technical requirements specified by the Musician team. This includes adequate stage space, power supply, and climate control.</w:t>
      </w:r>
    </w:p>
    <w:p>
      <w:pPr>
        <w:numPr>
          <w:ilvl w:val="0"/>
          <w:numId w:val="1001"/>
        </w:numPr>
        <w:pStyle w:val="Compact"/>
      </w:pPr>
      <w:r>
        <w:rPr>
          <w:bCs/>
          <w:b/>
        </w:rPr>
        <w:t xml:space="preserve">Regulatory Compliance:</w:t>
      </w:r>
      <w:r>
        <w:t xml:space="preserve"> </w:t>
      </w:r>
      <w:r>
        <w:t xml:space="preserve">All Musician performances in Iran Tehran shall comply with the regulations set forth by the Ministry of Culture and Islamic Guidance of the Islamic Republic of Iran. The client is responsible for obtaining any necessary event permits or licenses.</w:t>
      </w:r>
    </w:p>
    <w:p>
      <w:pPr>
        <w:numPr>
          <w:ilvl w:val="0"/>
          <w:numId w:val="1001"/>
        </w:numPr>
        <w:pStyle w:val="Compact"/>
      </w:pPr>
      <w:r>
        <w:rPr>
          <w:bCs/>
          <w:b/>
        </w:rPr>
        <w:t xml:space="preserve">Force Majeure:</w:t>
      </w:r>
      <w:r>
        <w:t xml:space="preserve"> </w:t>
      </w:r>
      <w:r>
        <w:t xml:space="preserve">Neither party shall be liable for failure to perform due to circumstances beyond reasonable control, including but not limited to government-mandated restrictions, natural disasters, or public health emergencies affecting Tehran.</w:t>
      </w:r>
    </w:p>
    <w:p>
      <w:pPr>
        <w:numPr>
          <w:ilvl w:val="0"/>
          <w:numId w:val="1001"/>
        </w:numPr>
        <w:pStyle w:val="Compact"/>
      </w:pPr>
      <w:r>
        <w:rPr>
          <w:bCs/>
          <w:b/>
        </w:rPr>
        <w:t xml:space="preserve">Intellectual Property:</w:t>
      </w:r>
      <w:r>
        <w:t xml:space="preserve"> </w:t>
      </w:r>
      <w:r>
        <w:t xml:space="preserve">All original compositions and arrangements created by the Musician(s) under this engagement remain the intellectual property of the performing Musician, unless otherwise agreed in a separate written contract.</w:t>
      </w:r>
    </w:p>
    <w:p>
      <w:pPr>
        <w:numPr>
          <w:ilvl w:val="0"/>
          <w:numId w:val="1001"/>
        </w:numPr>
        <w:pStyle w:val="Compact"/>
      </w:pPr>
      <w:r>
        <w:rPr>
          <w:bCs/>
          <w:b/>
        </w:rPr>
        <w:t xml:space="preserve">Additional Services:</w:t>
      </w:r>
      <w:r>
        <w:t xml:space="preserve"> </w:t>
      </w:r>
      <w:r>
        <w:t xml:space="preserve">Any services beyond the scope defined in this Quotation Estimate (e.g., extended performance hours, additional Musician personnel, recording services) will be quoted separately and require written approval before execution.</w:t>
      </w:r>
    </w:p>
    <w:p>
      <w:pPr>
        <w:pStyle w:val="FirstParagraph"/>
      </w:pPr>
      <w:r>
        <w:rPr>
          <w:bCs/>
          <w:b/>
        </w:rPr>
        <w:t xml:space="preserve">Note:</w:t>
      </w:r>
      <w:r>
        <w:t xml:space="preserve"> </w:t>
      </w:r>
      <w:r>
        <w:t xml:space="preserve">This Quotation Estimate is a good-faith estimate of costs for Musician services in Iran Tehran and does not constitute a binding contract until both parties execute a formal Service Agreement. All rates are subject to verification at the time of contract signing. The Musician team reserves the right to substitute personnel of equal or superior caliber with prior written notice to the client.</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for Musician services in Iran Tehran and agrees to the terms and conditions outlined herein. This acceptance does not constitute a final contract but serves as a preliminary agreement to proceed with the formal contracting process.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(Musician Services Provider)</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_________________________</w:t>
            </w:r>
          </w:p>
        </w:tc>
      </w:tr>
      <w:tr>
        <w:tc>
          <w:tcPr/>
          <w:p>
            <w:pPr>
              <w:pStyle w:val="Compact"/>
              <w:jc w:val="left"/>
            </w:pPr>
            <w:r>
              <w:t xml:space="preserve">Accepted By (Client)</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_________________________</w:t>
            </w:r>
          </w:p>
        </w:tc>
      </w:tr>
    </w:tbl>
    <w:p>
      <w:pPr>
        <w:pStyle w:val="BodyText"/>
      </w:pPr>
      <w:r>
        <w:t xml:space="preserve">Melody Arts &amp; Performance Services Co. | Valiasr Street, District 1, Tehran, Iran | +98 21 8876 5432 | quotes@melodyarts-iran.com</w:t>
      </w:r>
    </w:p>
    <w:p>
      <w:pPr>
        <w:pStyle w:val="BodyText"/>
      </w:pPr>
      <w:r>
        <w:t xml:space="preserve">This Quotation Estimate document was generated for Musician service engagements in Iran Tehran. Document Ref: QTE-TEH-2025-0472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Iran Tehran</dc:title>
  <dc:creator/>
  <dc:language>en</dc:language>
  <cp:keywords/>
  <dcterms:created xsi:type="dcterms:W3CDTF">2026-10-10T07:28:11Z</dcterms:created>
  <dcterms:modified xsi:type="dcterms:W3CDTF">2026-10-10T07:28:11Z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