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Professional Musician Services — United Arab Emirates Dubai</w:t>
      </w:r>
    </w:p>
    <w:bookmarkEnd w:id="20"/>
    <w:bookmarkStart w:id="21" w:name="service-provider"/>
    <w:p>
      <w:pPr>
        <w:pStyle w:val="Heading3"/>
      </w:pPr>
      <w:r>
        <w:t xml:space="preserve">Service Provider</w:t>
      </w:r>
    </w:p>
    <w:p>
      <w:pPr>
        <w:pStyle w:val="FirstParagraph"/>
      </w:pPr>
      <w:r>
        <w:rPr>
          <w:bCs/>
          <w:b/>
        </w:rPr>
        <w:t xml:space="preserve">Melody &amp; Rhythm Entertainment LLC</w:t>
      </w:r>
    </w:p>
    <w:p>
      <w:pPr>
        <w:pStyle w:val="BodyText"/>
      </w:pPr>
      <w:r>
        <w:t xml:space="preserve">Office 1204, Level 12, Marina Plaza Tower</w:t>
      </w:r>
    </w:p>
    <w:p>
      <w:pPr>
        <w:pStyle w:val="BodyText"/>
      </w:pPr>
      <w:r>
        <w:t xml:space="preserve">Jumeirah Marina, Dubai, United Arab Emirates</w:t>
      </w:r>
    </w:p>
    <w:p>
      <w:pPr>
        <w:pStyle w:val="BodyText"/>
      </w:pPr>
      <w:r>
        <w:t xml:space="preserve">Tel: +971 4 555 0192</w:t>
      </w:r>
    </w:p>
    <w:p>
      <w:pPr>
        <w:pStyle w:val="BodyText"/>
      </w:pPr>
      <w:r>
        <w:t xml:space="preserve">Email: quotes@melodyrhythm.ae</w:t>
      </w:r>
    </w:p>
    <w:p>
      <w:pPr>
        <w:pStyle w:val="BodyText"/>
      </w:pPr>
      <w:r>
        <w:t xml:space="preserve">Trade License No: 1048293</w:t>
      </w:r>
    </w:p>
    <w:bookmarkEnd w:id="21"/>
    <w:bookmarkStart w:id="22" w:name="client-recipient"/>
    <w:p>
      <w:pPr>
        <w:pStyle w:val="Heading3"/>
      </w:pPr>
      <w:r>
        <w:t xml:space="preserve">Client / Recipient</w:t>
      </w:r>
    </w:p>
    <w:p>
      <w:pPr>
        <w:pStyle w:val="FirstParagraph"/>
      </w:pPr>
      <w:r>
        <w:rPr>
          <w:bCs/>
          <w:b/>
        </w:rPr>
        <w:t xml:space="preserve">[Client Company Name]</w:t>
      </w:r>
    </w:p>
    <w:p>
      <w:pPr>
        <w:pStyle w:val="BodyText"/>
      </w:pPr>
      <w:r>
        <w:t xml:space="preserve">Attn: [Contact Person Name]</w:t>
      </w:r>
    </w:p>
    <w:p>
      <w:pPr>
        <w:pStyle w:val="BodyText"/>
      </w:pPr>
      <w:r>
        <w:t xml:space="preserve">[Street Address, Building, Floor]</w:t>
      </w:r>
    </w:p>
    <w:p>
      <w:pPr>
        <w:pStyle w:val="BodyText"/>
      </w:pPr>
      <w:r>
        <w:t xml:space="preserve">Dubai, United Arab Emirates</w:t>
      </w:r>
    </w:p>
    <w:p>
      <w:pPr>
        <w:pStyle w:val="BodyText"/>
      </w:pPr>
      <w:r>
        <w:t xml:space="preserve">Tel: +971 50 XXX XXXX</w:t>
      </w:r>
    </w:p>
    <w:p>
      <w:pPr>
        <w:pStyle w:val="BodyText"/>
      </w:pPr>
      <w:r>
        <w:t xml:space="preserve">Email: [client.email@example.com]</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QTE-2025-0743</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Event Date:</w:t>
            </w:r>
          </w:p>
        </w:tc>
        <w:tc>
          <w:tcPr/>
          <w:p>
            <w:pPr>
              <w:pStyle w:val="Compact"/>
              <w:jc w:val="left"/>
            </w:pPr>
            <w:r>
              <w:t xml:space="preserve">22 August 2025</w:t>
            </w:r>
          </w:p>
        </w:tc>
      </w:tr>
      <w:tr>
        <w:tc>
          <w:tcPr/>
          <w:p>
            <w:pPr>
              <w:pStyle w:val="Compact"/>
              <w:jc w:val="left"/>
            </w:pPr>
            <w:r>
              <w:t xml:space="preserve">Event Venue:</w:t>
            </w:r>
          </w:p>
        </w:tc>
        <w:tc>
          <w:tcPr/>
          <w:p>
            <w:pPr>
              <w:pStyle w:val="Compact"/>
              <w:jc w:val="left"/>
            </w:pPr>
            <w:r>
              <w:t xml:space="preserve">Atlantis The Palm, Dubai</w:t>
            </w:r>
          </w:p>
        </w:tc>
        <w:tc>
          <w:tcPr/>
          <w:p>
            <w:pPr>
              <w:pStyle w:val="Compact"/>
              <w:jc w:val="left"/>
            </w:pPr>
            <w:r>
              <w:t xml:space="preserve">Country:</w:t>
            </w:r>
          </w:p>
        </w:tc>
        <w:tc>
          <w:tcPr/>
          <w:p>
            <w:pPr>
              <w:pStyle w:val="Compact"/>
              <w:jc w:val="left"/>
            </w:pPr>
            <w:r>
              <w:t xml:space="preserve">United Arab Emirates</w:t>
            </w:r>
          </w:p>
        </w:tc>
      </w:tr>
    </w:tbl>
    <w:bookmarkStart w:id="23" w:name="scope-of-services-musician-engagement"/>
    <w:p>
      <w:pPr>
        <w:pStyle w:val="Heading2"/>
      </w:pPr>
      <w:r>
        <w:t xml:space="preserve">1. Scope of Services — Musician Engagement</w:t>
      </w:r>
    </w:p>
    <w:p>
      <w:pPr>
        <w:pStyle w:val="FirstParagraph"/>
      </w:pPr>
      <w:r>
        <w:t xml:space="preserve">This</w:t>
      </w:r>
      <w:r>
        <w:t xml:space="preserve"> </w:t>
      </w:r>
      <w:r>
        <w:t xml:space="preserve">Quotation Estimate</w:t>
      </w:r>
      <w:r>
        <w:t xml:space="preserve"> </w:t>
      </w:r>
      <w:r>
        <w:t xml:space="preserve">is issued by Melody &amp; Rhythm Entertainment LLC to provide a comprehensive and itemized cost breakdown for the engagement of a professional</w:t>
      </w:r>
      <w:r>
        <w:t xml:space="preserve"> </w:t>
      </w:r>
      <w:r>
        <w:t xml:space="preserve">Musician</w:t>
      </w:r>
      <w:r>
        <w:t xml:space="preserve"> </w:t>
      </w:r>
      <w:r>
        <w:t xml:space="preserve">(or ensemble of Musicians) for a corporate gala dinner and live entertainment event to be held in the city of Dubai,</w:t>
      </w:r>
      <w:r>
        <w:t xml:space="preserve"> </w:t>
      </w:r>
      <w:r>
        <w:t xml:space="preserve">United Arab Emirates</w:t>
      </w:r>
      <w:r>
        <w:t xml:space="preserve">. The services described herein encompass all performance-related activities, equipment, travel, and logistical support required to deliver a world-class musical experience at the client's designated venue.</w:t>
      </w:r>
    </w:p>
    <w:p>
      <w:pPr>
        <w:pStyle w:val="BodyText"/>
      </w:pPr>
      <w:r>
        <w:t xml:space="preserve">The</w:t>
      </w:r>
      <w:r>
        <w:t xml:space="preserve"> </w:t>
      </w:r>
      <w:r>
        <w:t xml:space="preserve">Musician</w:t>
      </w:r>
      <w:r>
        <w:t xml:space="preserve"> </w:t>
      </w:r>
      <w:r>
        <w:t xml:space="preserve">engagement includes a principal soloist (pianist and vocalist) accompanied by a four-piece ensemble (strings and percussion), a dedicated sound engineer, and a stage manager. All performers are fully licensed and registered with the Dubai Culture &amp; Arts Authority, ensuring full compliance with local regulations governing live musical performances in the</w:t>
      </w:r>
      <w:r>
        <w:t xml:space="preserve"> </w:t>
      </w:r>
      <w:r>
        <w:t xml:space="preserve">United Arab Emirates</w:t>
      </w:r>
      <w:r>
        <w:t xml:space="preserve">.</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Principal Musician — Solo Pianist &amp; Vocalist (live performance, 2 sets of 90 minutes each)</w:t>
            </w:r>
          </w:p>
        </w:tc>
        <w:tc>
          <w:tcPr/>
          <w:p>
            <w:pPr>
              <w:pStyle w:val="Compact"/>
              <w:jc w:val="left"/>
            </w:pPr>
            <w:r>
              <w:t xml:space="preserve">4 hrs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Supporting Musician Ensemble — 2 Violinists, 1 Cellist, 1 Percussionist</w:t>
            </w:r>
          </w:p>
        </w:tc>
        <w:tc>
          <w:tcPr/>
          <w:p>
            <w:pPr>
              <w:pStyle w:val="Compact"/>
              <w:jc w:val="left"/>
            </w:pPr>
            <w:r>
              <w:t xml:space="preserve">4 hrs</w:t>
            </w:r>
          </w:p>
        </w:tc>
        <w:tc>
          <w:tcPr/>
          <w:p>
            <w:pPr>
              <w:pStyle w:val="Compact"/>
              <w:jc w:val="left"/>
            </w:pPr>
            <w:r>
              <w:t xml:space="preserve">4</w:t>
            </w:r>
          </w:p>
        </w:tc>
        <w:tc>
          <w:tcPr/>
          <w:p>
            <w:pPr>
              <w:pStyle w:val="Compact"/>
              <w:jc w:val="left"/>
            </w:pPr>
            <w:r>
              <w:t xml:space="preserve">6,200.00</w:t>
            </w:r>
          </w:p>
        </w:tc>
        <w:tc>
          <w:tcPr/>
          <w:p>
            <w:pPr>
              <w:pStyle w:val="Compact"/>
              <w:jc w:val="left"/>
            </w:pPr>
            <w:r>
              <w:t xml:space="preserve">24,800.00</w:t>
            </w:r>
          </w:p>
        </w:tc>
      </w:tr>
      <w:tr>
        <w:tc>
          <w:tcPr/>
          <w:p>
            <w:pPr>
              <w:pStyle w:val="Compact"/>
              <w:jc w:val="left"/>
            </w:pPr>
            <w:r>
              <w:t xml:space="preserve">3</w:t>
            </w:r>
          </w:p>
        </w:tc>
        <w:tc>
          <w:tcPr/>
          <w:p>
            <w:pPr>
              <w:pStyle w:val="Compact"/>
              <w:jc w:val="left"/>
            </w:pPr>
            <w:r>
              <w:t xml:space="preserve">Professional Sound Engineer &amp; Stage Manager (on-site technical support)</w:t>
            </w:r>
          </w:p>
        </w:tc>
        <w:tc>
          <w:tcPr/>
          <w:p>
            <w:pPr>
              <w:pStyle w:val="Compact"/>
              <w:jc w:val="left"/>
            </w:pPr>
            <w:r>
              <w:t xml:space="preserve">6 hrs</w:t>
            </w:r>
          </w:p>
        </w:tc>
        <w:tc>
          <w:tcPr/>
          <w:p>
            <w:pPr>
              <w:pStyle w:val="Compact"/>
              <w:jc w:val="left"/>
            </w:pPr>
            <w:r>
              <w:t xml:space="preserve">2</w:t>
            </w:r>
          </w:p>
        </w:tc>
        <w:tc>
          <w:tcPr/>
          <w:p>
            <w:pPr>
              <w:pStyle w:val="Compact"/>
              <w:jc w:val="left"/>
            </w:pPr>
            <w:r>
              <w:t xml:space="preserve">3,800.00</w:t>
            </w:r>
          </w:p>
        </w:tc>
        <w:tc>
          <w:tcPr/>
          <w:p>
            <w:pPr>
              <w:pStyle w:val="Compact"/>
              <w:jc w:val="left"/>
            </w:pPr>
            <w:r>
              <w:t xml:space="preserve">7,600.00</w:t>
            </w:r>
          </w:p>
        </w:tc>
      </w:tr>
      <w:tr>
        <w:tc>
          <w:tcPr/>
          <w:p>
            <w:pPr>
              <w:pStyle w:val="Compact"/>
              <w:jc w:val="left"/>
            </w:pPr>
            <w:r>
              <w:t xml:space="preserve">4</w:t>
            </w:r>
          </w:p>
        </w:tc>
        <w:tc>
          <w:tcPr/>
          <w:p>
            <w:pPr>
              <w:pStyle w:val="Compact"/>
              <w:jc w:val="left"/>
            </w:pPr>
            <w:r>
              <w:t xml:space="preserve">Grand Piano (Yamaha C3X) — Delivery, Tuning, Setup, and Collection</w:t>
            </w:r>
          </w:p>
        </w:tc>
        <w:tc>
          <w:tcPr/>
          <w:p>
            <w:pPr>
              <w:pStyle w:val="Compact"/>
              <w:jc w:val="left"/>
            </w:pPr>
            <w:r>
              <w:t xml:space="preserve">1 day</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5</w:t>
            </w:r>
          </w:p>
        </w:tc>
        <w:tc>
          <w:tcPr/>
          <w:p>
            <w:pPr>
              <w:pStyle w:val="Compact"/>
              <w:jc w:val="left"/>
            </w:pPr>
            <w:r>
              <w:t xml:space="preserve">Audio-Visual Equipment Package (mixing console, microphones, monitors, cabling)</w:t>
            </w:r>
          </w:p>
        </w:tc>
        <w:tc>
          <w:tcPr/>
          <w:p>
            <w:pPr>
              <w:pStyle w:val="Compact"/>
              <w:jc w:val="left"/>
            </w:pPr>
            <w:r>
              <w:t xml:space="preserve">1 day</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Rehearsal Session at Client Venue (1 full day, all Musicians present)</w:t>
            </w:r>
          </w:p>
        </w:tc>
        <w:tc>
          <w:tcPr/>
          <w:p>
            <w:pPr>
              <w:pStyle w:val="Compact"/>
              <w:jc w:val="left"/>
            </w:pPr>
            <w:r>
              <w:t xml:space="preserve">1 day</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7</w:t>
            </w:r>
          </w:p>
        </w:tc>
        <w:tc>
          <w:tcPr/>
          <w:p>
            <w:pPr>
              <w:pStyle w:val="Compact"/>
              <w:jc w:val="left"/>
            </w:pPr>
            <w:r>
              <w:t xml:space="preserve">Travel, Accommodation &amp; Per Diem for Musician Team (3 nights, 5-star hotel, Dubai)</w:t>
            </w:r>
          </w:p>
        </w:tc>
        <w:tc>
          <w:tcPr/>
          <w:p>
            <w:pPr>
              <w:pStyle w:val="Compact"/>
              <w:jc w:val="left"/>
            </w:pPr>
            <w:r>
              <w:t xml:space="preserve">4 days</w:t>
            </w:r>
          </w:p>
        </w:tc>
        <w:tc>
          <w:tcPr/>
          <w:p>
            <w:pPr>
              <w:pStyle w:val="Compact"/>
              <w:jc w:val="left"/>
            </w:pPr>
            <w:r>
              <w:t xml:space="preserve">7</w:t>
            </w:r>
          </w:p>
        </w:tc>
        <w:tc>
          <w:tcPr/>
          <w:p>
            <w:pPr>
              <w:pStyle w:val="Compact"/>
              <w:jc w:val="left"/>
            </w:pPr>
            <w:r>
              <w:t xml:space="preserve">1,200.00</w:t>
            </w:r>
          </w:p>
        </w:tc>
        <w:tc>
          <w:tcPr/>
          <w:p>
            <w:pPr>
              <w:pStyle w:val="Compact"/>
              <w:jc w:val="left"/>
            </w:pPr>
            <w:r>
              <w:t xml:space="preserve">8,400.00</w:t>
            </w:r>
          </w:p>
        </w:tc>
      </w:tr>
      <w:tr>
        <w:tc>
          <w:tcPr/>
          <w:p>
            <w:pPr>
              <w:pStyle w:val="Compact"/>
              <w:jc w:val="left"/>
            </w:pPr>
            <w:r>
              <w:t xml:space="preserve">8</w:t>
            </w:r>
          </w:p>
        </w:tc>
        <w:tc>
          <w:tcPr/>
          <w:p>
            <w:pPr>
              <w:pStyle w:val="Compact"/>
              <w:jc w:val="left"/>
            </w:pPr>
            <w:r>
              <w:t xml:space="preserve">Dubai Culture &amp; Arts Authority Performance Permit &amp; Licensing Fees</w:t>
            </w:r>
          </w:p>
        </w:tc>
        <w:tc>
          <w:tcPr/>
          <w:p>
            <w:pPr>
              <w:pStyle w:val="Compact"/>
              <w:jc w:val="left"/>
            </w:pPr>
            <w:r>
              <w:t xml:space="preserve">1 event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9</w:t>
            </w:r>
          </w:p>
        </w:tc>
        <w:tc>
          <w:tcPr/>
          <w:p>
            <w:pPr>
              <w:pStyle w:val="Compact"/>
              <w:jc w:val="left"/>
            </w:pPr>
            <w:r>
              <w:t xml:space="preserve">Custom Song Arrangement &amp; Setlist Curation (tailored to client's theme)</w:t>
            </w:r>
          </w:p>
        </w:tc>
        <w:tc>
          <w:tcPr/>
          <w:p>
            <w:pPr>
              <w:pStyle w:val="Compact"/>
              <w:jc w:val="left"/>
            </w:pPr>
            <w:r>
              <w:t xml:space="preserve">1 pkg</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10</w:t>
            </w:r>
          </w:p>
        </w:tc>
        <w:tc>
          <w:tcPr/>
          <w:p>
            <w:pPr>
              <w:pStyle w:val="Compact"/>
              <w:jc w:val="left"/>
            </w:pPr>
            <w:r>
              <w:t xml:space="preserve">Contingency &amp; Administrative Surcharge (10%)</w:t>
            </w:r>
          </w:p>
        </w:tc>
        <w:tc>
          <w:tcPr/>
          <w:p>
            <w:pPr>
              <w:pStyle w:val="Compact"/>
              <w:jc w:val="left"/>
            </w:pPr>
            <w:r>
              <w:t xml:space="preserve">—</w:t>
            </w:r>
          </w:p>
        </w:tc>
        <w:tc>
          <w:tcPr/>
          <w:p>
            <w:pPr>
              <w:pStyle w:val="Compact"/>
              <w:jc w:val="left"/>
            </w:pPr>
            <w:r>
              <w:t xml:space="preserve">1</w:t>
            </w:r>
          </w:p>
        </w:tc>
        <w:tc>
          <w:tcPr/>
          <w:p>
            <w:pPr>
              <w:pStyle w:val="Compact"/>
              <w:jc w:val="left"/>
            </w:pPr>
            <w:r>
              <w:t xml:space="preserve">—</w:t>
            </w:r>
          </w:p>
        </w:tc>
        <w:tc>
          <w:tcPr/>
          <w:p>
            <w:pPr>
              <w:pStyle w:val="Compact"/>
              <w:jc w:val="left"/>
            </w:pPr>
            <w:r>
              <w:t xml:space="preserve">8,330.00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left"/>
            </w:pPr>
            <w:r>
              <w:t xml:space="preserve">83,330.00</w:t>
            </w:r>
          </w:p>
        </w:tc>
      </w:tr>
      <w:tr>
        <w:tc>
          <w:tcPr/>
          <w:p>
            <w:pPr>
              <w:pStyle w:val="Compact"/>
              <w:jc w:val="left"/>
            </w:pPr>
            <w:r>
              <w:t xml:space="preserve">VAT @ 5% (UAE):</w:t>
            </w:r>
          </w:p>
        </w:tc>
        <w:tc>
          <w:tcPr/>
          <w:p>
            <w:pPr>
              <w:pStyle w:val="Compact"/>
              <w:jc w:val="left"/>
            </w:pPr>
            <w:r>
              <w:t xml:space="preserve">4,166.50</w:t>
            </w:r>
          </w:p>
        </w:tc>
      </w:tr>
      <w:tr>
        <w:tc>
          <w:tcPr/>
          <w:p>
            <w:pPr>
              <w:pStyle w:val="Compact"/>
              <w:jc w:val="left"/>
            </w:pPr>
            <w:r>
              <w:t xml:space="preserve">GRAND TOTAL (AED):</w:t>
            </w:r>
          </w:p>
        </w:tc>
        <w:tc>
          <w:tcPr/>
          <w:p>
            <w:pPr>
              <w:pStyle w:val="Compact"/>
              <w:jc w:val="left"/>
            </w:pPr>
            <w:r>
              <w:t xml:space="preserve">87,496.50</w:t>
            </w:r>
          </w:p>
        </w:tc>
      </w:tr>
    </w:tbl>
    <w:bookmarkEnd w:id="24"/>
    <w:bookmarkStart w:id="25" w:name="X06f751c0fef37426aad28df54ec1acd620508e5"/>
    <w:p>
      <w:pPr>
        <w:pStyle w:val="Heading2"/>
      </w:pPr>
      <w:r>
        <w:t xml:space="preserve">3.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request for services beyond this validity period will require a revised Quotation Estimate reflecting current market rates for Musician engagements in the United Arab Emirates Dubai region.</w:t>
      </w:r>
    </w:p>
    <w:p>
      <w:pPr>
        <w:numPr>
          <w:ilvl w:val="0"/>
          <w:numId w:val="1001"/>
        </w:numPr>
        <w:pStyle w:val="Compact"/>
      </w:pPr>
      <w:r>
        <w:t xml:space="preserve">All prices are quoted in United Arab Emirates Dirhams (AED) and are inclusive of all applicable local taxes unless otherwise stated. The 5% Value Added Tax (VAT) as mandated by the Federal Tax Authority of the UAE has been applied separately.</w:t>
      </w:r>
    </w:p>
    <w:p>
      <w:pPr>
        <w:numPr>
          <w:ilvl w:val="0"/>
          <w:numId w:val="1001"/>
        </w:numPr>
        <w:pStyle w:val="Compact"/>
      </w:pPr>
      <w:r>
        <w:t xml:space="preserve">Payment Terms: A non-refundable deposit of 50% of the Grand Total is due upon acceptance of this Quotation Estimate. The remaining 50% balance shall be settled no later than seven (7) business days prior to the event date via bank transfer to the account details provided in the accompanying invoice.</w:t>
      </w:r>
    </w:p>
    <w:p>
      <w:pPr>
        <w:numPr>
          <w:ilvl w:val="0"/>
          <w:numId w:val="1001"/>
        </w:numPr>
        <w:pStyle w:val="Compact"/>
      </w:pPr>
      <w:r>
        <w:t xml:space="preserve">The Musician and supporting ensemble shall arrive at the venue no later than 180 minutes before the scheduled performance start time. The client agrees to provide a dedicated green room, refreshments, and secure parking for the Musician team and equipment vehicles.</w:t>
      </w:r>
    </w:p>
    <w:p>
      <w:pPr>
        <w:numPr>
          <w:ilvl w:val="0"/>
          <w:numId w:val="1001"/>
        </w:numPr>
        <w:pStyle w:val="Compact"/>
      </w:pPr>
      <w:r>
        <w:t xml:space="preserve">Any changes to the event date, venue, or scope of services must be communicated in writing at least fourteen (14) days in advance. Rescheduling within 14 days of the event date will incur a 25% rescheduling fee on the total Quotation Estimate value.</w:t>
      </w:r>
    </w:p>
    <w:p>
      <w:pPr>
        <w:numPr>
          <w:ilvl w:val="0"/>
          <w:numId w:val="1001"/>
        </w:numPr>
        <w:pStyle w:val="Compact"/>
      </w:pPr>
      <w:r>
        <w:t xml:space="preserve">Melody &amp; Rhythm Entertainment LLC reserves the right to substitute the principal Musician with a performer of equivalent or superior caliber in the event of unforeseen illness or emergency, with prior written notice to the client.</w:t>
      </w:r>
    </w:p>
    <w:p>
      <w:pPr>
        <w:numPr>
          <w:ilvl w:val="0"/>
          <w:numId w:val="1001"/>
        </w:numPr>
        <w:pStyle w:val="Compact"/>
      </w:pPr>
      <w:r>
        <w:t xml:space="preserve">All performances are subject to the regulations and permits issued by the Dubai Culture &amp; Arts Authority. The client acknowledges that the Musician's setlist and repertoire have been pre-approved in compliance with UAE cultural guidelines.</w:t>
      </w:r>
    </w:p>
    <w:p>
      <w:pPr>
        <w:numPr>
          <w:ilvl w:val="0"/>
          <w:numId w:val="1001"/>
        </w:numPr>
        <w:pStyle w:val="Compact"/>
      </w:pPr>
      <w:r>
        <w:t xml:space="preserve">This Quotation Estimate does not constitute a binding contract until formally accepted in writing by both parties and the initial deposit has been received. Upon acceptance, a formal Service Agreement will be executed.</w:t>
      </w:r>
    </w:p>
    <w:p>
      <w:pPr>
        <w:numPr>
          <w:ilvl w:val="0"/>
          <w:numId w:val="1001"/>
        </w:numPr>
        <w:pStyle w:val="Compact"/>
      </w:pPr>
      <w:r>
        <w:t xml:space="preserve">Disputes arising from this Quotation Estimate or the subsequent engagement shall be governed by the laws of the United Arab Emirates and shall be subject to the exclusive jurisdiction of the courts of Dubai.</w:t>
      </w:r>
    </w:p>
    <w:bookmarkEnd w:id="25"/>
    <w:bookmarkStart w:id="28" w:name="acceptance-authorization"/>
    <w:p>
      <w:pPr>
        <w:pStyle w:val="Heading2"/>
      </w:pPr>
      <w:r>
        <w:t xml:space="preserve">4.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Musician</w:t>
      </w:r>
      <w:r>
        <w:t xml:space="preserve"> </w:t>
      </w:r>
      <w:r>
        <w:t xml:space="preserve">services in</w:t>
      </w:r>
      <w:r>
        <w:t xml:space="preserve"> </w:t>
      </w:r>
      <w:r>
        <w:t xml:space="preserve">United Arab Emirates Dubai</w:t>
      </w:r>
      <w:r>
        <w:t xml:space="preserve"> </w:t>
      </w:r>
      <w:r>
        <w:t xml:space="preserve">and agrees to the terms, conditions, and pricing outlined herein.</w:t>
      </w:r>
    </w:p>
    <w:bookmarkStart w:id="26" w:name="for-melody-rhythm-entertainment-llc"/>
    <w:p>
      <w:pPr>
        <w:pStyle w:val="Heading4"/>
      </w:pPr>
      <w:r>
        <w:t xml:space="preserve">For: Melody &amp; Rhythm Entertainment LLC</w:t>
      </w:r>
    </w:p>
    <w:p>
      <w:pPr>
        <w:pStyle w:val="FirstParagraph"/>
      </w:pPr>
      <w:r>
        <w:t xml:space="preserve">Name: ______________________________</w:t>
      </w:r>
    </w:p>
    <w:p>
      <w:pPr>
        <w:pStyle w:val="BodyText"/>
      </w:pPr>
      <w:r>
        <w:t xml:space="preserve">Title: ______________________________</w:t>
      </w:r>
    </w:p>
    <w:p>
      <w:pPr>
        <w:pStyle w:val="BodyText"/>
      </w:pPr>
      <w:r>
        <w:t xml:space="preserve">Date: ______________________________</w:t>
      </w:r>
    </w:p>
    <w:p>
      <w:pPr>
        <w:pStyle w:val="BodyText"/>
      </w:pPr>
      <w:r>
        <w:t xml:space="preserve">Signature &amp; Company Stamp</w:t>
      </w:r>
    </w:p>
    <w:bookmarkEnd w:id="26"/>
    <w:bookmarkStart w:id="27" w:name="for-client-company-name"/>
    <w:p>
      <w:pPr>
        <w:pStyle w:val="Heading4"/>
      </w:pPr>
      <w:r>
        <w:t xml:space="preserve">For: [Client Company Name]</w:t>
      </w:r>
    </w:p>
    <w:p>
      <w:pPr>
        <w:pStyle w:val="FirstParagraph"/>
      </w:pPr>
      <w:r>
        <w:t xml:space="preserve">Name: ______________________________</w:t>
      </w:r>
    </w:p>
    <w:p>
      <w:pPr>
        <w:pStyle w:val="BodyText"/>
      </w:pPr>
      <w:r>
        <w:t xml:space="preserve">Title: ______________________________</w:t>
      </w:r>
    </w:p>
    <w:p>
      <w:pPr>
        <w:pStyle w:val="BodyText"/>
      </w:pPr>
      <w:r>
        <w:t xml:space="preserve">Date: ______________________________</w:t>
      </w:r>
    </w:p>
    <w:p>
      <w:pPr>
        <w:pStyle w:val="BodyText"/>
      </w:pPr>
      <w:r>
        <w:t xml:space="preserve">Signature &amp; Company Stamp</w:t>
      </w:r>
    </w:p>
    <w:bookmarkEnd w:id="27"/>
    <w:p>
      <w:pPr>
        <w:pStyle w:val="BodyText"/>
      </w:pPr>
      <w:r>
        <w:rPr>
          <w:bCs/>
          <w:b/>
        </w:rPr>
        <w:t xml:space="preserve">Melody &amp; Rhythm Entertainment LLC</w:t>
      </w:r>
      <w:r>
        <w:t xml:space="preserve"> </w:t>
      </w:r>
      <w:r>
        <w:t xml:space="preserve">| Jumeirah Marina, Dubai, United Arab Emirates | +971 4 555 0192 | quotes@melodyrhythm.ae</w:t>
      </w:r>
    </w:p>
    <w:p>
      <w:pPr>
        <w:pStyle w:val="BodyText"/>
      </w:pPr>
      <w:r>
        <w:t xml:space="preserve">Quotation Estimate No. QTE-2025-0743 | This document is confidential and intended solely for the named recipient.</w:t>
      </w:r>
    </w:p>
    <w:p>
      <w:pPr>
        <w:pStyle w:val="BodyText"/>
      </w:pPr>
      <w:r>
        <w:t xml:space="preserve">© 2025 Melody &amp; Rhythm Entertainment LLC. All rights reserved. Registered in Dubai, United Arab Emirates.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United Arab Emirates Dubai</dc:title>
  <dc:creator/>
  <dc:language>en</dc:language>
  <cp:keywords/>
  <dcterms:created xsi:type="dcterms:W3CDTF">2026-10-10T10:01:29Z</dcterms:created>
  <dcterms:modified xsi:type="dcterms:W3CDTF">2026-10-10T10:01:29Z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