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MediCare Professional Services Indonesia</w:t>
      </w:r>
    </w:p>
    <w:p>
      <w:pPr>
        <w:pStyle w:val="BodyText"/>
      </w:pPr>
      <w:r>
        <w:t xml:space="preserve">Jl. Jend. Sudirman Kav. 52-53, SCBD District, Indonesia Jakarta 12190</w:t>
      </w:r>
    </w:p>
    <w:p>
      <w:pPr>
        <w:pStyle w:val="BodyText"/>
      </w:pPr>
      <w:r>
        <w:t xml:space="preserve">Tel: +62-21-5150-8800 | Email: quotations@medicare-jakarta.co.id</w:t>
      </w:r>
    </w:p>
    <w:p>
      <w:pPr>
        <w:pStyle w:val="BodyText"/>
      </w:pPr>
      <w:r>
        <w:t xml:space="preserve">NPWP: 01.234.567.8-011.000 | Business License: 110/0456/B/2024</w:t>
      </w:r>
    </w:p>
    <w:bookmarkEnd w:id="20"/>
    <w:p>
      <w:pPr>
        <w:pStyle w:val="BodyText"/>
      </w:pPr>
      <w:r>
        <w:rPr>
          <w:bCs/>
          <w:b/>
        </w:rPr>
        <w:t xml:space="preserve">Quotation Estimate No.:</w:t>
      </w:r>
      <w:r>
        <w:t xml:space="preserve"> </w:t>
      </w:r>
      <w:r>
        <w:t xml:space="preserve">QTE-JKT-2025-00847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PT. Nusantara Wellness Group</w:t>
      </w:r>
      <w:r>
        <w:br/>
      </w:r>
      <w:r>
        <w:rPr>
          <w:bCs/>
          <w:b/>
        </w:rPr>
        <w:t xml:space="preserve">Address:</w:t>
      </w:r>
      <w:r>
        <w:t xml:space="preserve"> </w:t>
      </w:r>
      <w:r>
        <w:t xml:space="preserve">Menara Sentral, Lt. 12, Indonesia Jakarta 12130</w:t>
      </w:r>
      <w:r>
        <w:br/>
      </w:r>
      <w:r>
        <w:rPr>
          <w:bCs/>
          <w:b/>
        </w:rPr>
        <w:t xml:space="preserve">Contact Person:</w:t>
      </w:r>
      <w:r>
        <w:t xml:space="preserve"> </w:t>
      </w:r>
      <w:r>
        <w:t xml:space="preserve">Mrs. Dewi Anggraini</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MediCare Professional Services Indonesia to provide a comprehensive and transparent cost breakdown for the engagement of a qualified</w:t>
      </w:r>
      <w:r>
        <w:t xml:space="preserve"> </w:t>
      </w:r>
      <w:r>
        <w:t xml:space="preserve">Nurse</w:t>
      </w:r>
      <w:r>
        <w:t xml:space="preserve"> </w:t>
      </w:r>
      <w:r>
        <w:t xml:space="preserve">professional to deliver in-home and on-site healthcare services within the</w:t>
      </w:r>
      <w:r>
        <w:t xml:space="preserve"> </w:t>
      </w:r>
      <w:r>
        <w:t xml:space="preserve">Indonesia Jakarta</w:t>
      </w:r>
      <w:r>
        <w:t xml:space="preserve"> </w:t>
      </w:r>
      <w:r>
        <w:t xml:space="preserve">metropolitan area. This document serves as a binding financial proposal and outlines all associated fees, service inclusions, and operational parameters for the</w:t>
      </w:r>
      <w:r>
        <w:t xml:space="preserve"> </w:t>
      </w:r>
      <w:r>
        <w:t xml:space="preserve">Nurse</w:t>
      </w:r>
      <w:r>
        <w:t xml:space="preserve"> </w:t>
      </w:r>
      <w:r>
        <w:t xml:space="preserve">placement arrangement. The</w:t>
      </w:r>
      <w:r>
        <w:t xml:space="preserve"> </w:t>
      </w:r>
      <w:r>
        <w:t xml:space="preserve">Quotation Estimate</w:t>
      </w:r>
      <w:r>
        <w:t xml:space="preserve"> </w:t>
      </w:r>
      <w:r>
        <w:t xml:space="preserve">has been prepared in full compliance with the Indonesian Ministry of Health regulations (Permenkes No. 11/2024) governing private healthcare staffing and the professional standards set by the Indonesian Nurses Association (Persatuan Perawat Nasional Indonesia - PPNI) for the</w:t>
      </w:r>
      <w:r>
        <w:t xml:space="preserve"> </w:t>
      </w:r>
      <w:r>
        <w:t xml:space="preserve">Indonesia Jakarta</w:t>
      </w:r>
      <w:r>
        <w:t xml:space="preserve"> </w:t>
      </w:r>
      <w:r>
        <w:t xml:space="preserve">region.</w:t>
      </w:r>
    </w:p>
    <w:bookmarkEnd w:id="21"/>
    <w:bookmarkStart w:id="22" w:name="scope-of-nurse-services"/>
    <w:p>
      <w:pPr>
        <w:pStyle w:val="Heading2"/>
      </w:pPr>
      <w:r>
        <w:t xml:space="preserve">2. Scope of Nurse Services</w:t>
      </w:r>
    </w:p>
    <w:p>
      <w:pPr>
        <w:pStyle w:val="FirstParagraph"/>
      </w:pPr>
      <w:r>
        <w:t xml:space="preserve">The</w:t>
      </w:r>
      <w:r>
        <w:t xml:space="preserve"> </w:t>
      </w:r>
      <w:r>
        <w:t xml:space="preserve">Nurse</w:t>
      </w:r>
      <w:r>
        <w:t xml:space="preserve"> </w:t>
      </w:r>
      <w:r>
        <w:t xml:space="preserve">professional engaged under this</w:t>
      </w:r>
      <w:r>
        <w:t xml:space="preserve"> </w:t>
      </w:r>
      <w:r>
        <w:t xml:space="preserve">Quotation Estimate</w:t>
      </w:r>
      <w:r>
        <w:t xml:space="preserve"> </w:t>
      </w:r>
      <w:r>
        <w:t xml:space="preserve">shall provide the following services exclusively within the</w:t>
      </w:r>
      <w:r>
        <w:t xml:space="preserve"> </w:t>
      </w:r>
      <w:r>
        <w:t xml:space="preserve">Indonesia Jakarta</w:t>
      </w:r>
      <w:r>
        <w:t xml:space="preserve"> </w:t>
      </w:r>
      <w:r>
        <w:t xml:space="preserve">service area, including but not limited to South Jakarta, North Jakarta, Central Jakarta, East Jakarta, and West Jakarta administrative districts:</w:t>
      </w:r>
    </w:p>
    <w:p>
      <w:pPr>
        <w:numPr>
          <w:ilvl w:val="0"/>
          <w:numId w:val="1001"/>
        </w:numPr>
        <w:pStyle w:val="Compact"/>
      </w:pPr>
      <w:r>
        <w:rPr>
          <w:bCs/>
          <w:b/>
        </w:rPr>
        <w:t xml:space="preserve">Clinical Care Administration:</w:t>
      </w:r>
      <w:r>
        <w:t xml:space="preserve"> </w:t>
      </w:r>
      <w:r>
        <w:t xml:space="preserve">The</w:t>
      </w:r>
      <w:r>
        <w:t xml:space="preserve"> </w:t>
      </w:r>
      <w:r>
        <w:t xml:space="preserve">Nurse</w:t>
      </w:r>
      <w:r>
        <w:t xml:space="preserve"> </w:t>
      </w:r>
      <w:r>
        <w:t xml:space="preserve">shall perform wound dressing, intravenous (IV) therapy administration, medication management, vital sign monitoring, and post-surgical recovery support at the client's designated residence or facility in</w:t>
      </w:r>
      <w:r>
        <w:t xml:space="preserve"> </w:t>
      </w:r>
      <w:r>
        <w:t xml:space="preserve">Indonesia Jakarta</w:t>
      </w:r>
      <w:r>
        <w:t xml:space="preserve">.</w:t>
      </w:r>
    </w:p>
    <w:p>
      <w:pPr>
        <w:numPr>
          <w:ilvl w:val="0"/>
          <w:numId w:val="1001"/>
        </w:numPr>
        <w:pStyle w:val="Compact"/>
      </w:pPr>
      <w:r>
        <w:rPr>
          <w:bCs/>
          <w:b/>
        </w:rPr>
        <w:t xml:space="preserve">Patient Assessment &amp; Reporting:</w:t>
      </w:r>
      <w:r>
        <w:t xml:space="preserve"> </w:t>
      </w:r>
      <w:r>
        <w:t xml:space="preserve">Daily clinical assessments, documentation of patient progress, and weekly summary reports submitted to the supervising physician. The</w:t>
      </w:r>
      <w:r>
        <w:t xml:space="preserve"> </w:t>
      </w:r>
      <w:r>
        <w:t xml:space="preserve">Nurse</w:t>
      </w:r>
      <w:r>
        <w:t xml:space="preserve"> </w:t>
      </w:r>
      <w:r>
        <w:t xml:space="preserve">shall maintain all records in accordance with Indonesian medical data privacy law (UU No. 17/2023).</w:t>
      </w:r>
    </w:p>
    <w:p>
      <w:pPr>
        <w:numPr>
          <w:ilvl w:val="0"/>
          <w:numId w:val="1001"/>
        </w:numPr>
        <w:pStyle w:val="Compact"/>
      </w:pPr>
      <w:r>
        <w:rPr>
          <w:bCs/>
          <w:b/>
        </w:rPr>
        <w:t xml:space="preserve">Chronic Disease Management:</w:t>
      </w:r>
      <w:r>
        <w:t xml:space="preserve"> </w:t>
      </w:r>
      <w:r>
        <w:t xml:space="preserve">Ongoing monitoring and care coordination for patients with diabetes, hypertension, cardiac conditions, or respiratory disorders, as directed by the attending physician in</w:t>
      </w:r>
      <w:r>
        <w:t xml:space="preserve"> </w:t>
      </w:r>
      <w:r>
        <w:t xml:space="preserve">Indonesia Jakarta</w:t>
      </w:r>
      <w:r>
        <w:t xml:space="preserve">.</w:t>
      </w:r>
    </w:p>
    <w:p>
      <w:pPr>
        <w:numPr>
          <w:ilvl w:val="0"/>
          <w:numId w:val="1001"/>
        </w:numPr>
        <w:pStyle w:val="Compact"/>
      </w:pPr>
      <w:r>
        <w:rPr>
          <w:bCs/>
          <w:b/>
        </w:rPr>
        <w:t xml:space="preserve">Emergency Response Coordination:</w:t>
      </w:r>
      <w:r>
        <w:t xml:space="preserve"> </w:t>
      </w:r>
      <w:r>
        <w:t xml:space="preserve">The</w:t>
      </w:r>
      <w:r>
        <w:t xml:space="preserve"> </w:t>
      </w:r>
      <w:r>
        <w:t xml:space="preserve">Nurse</w:t>
      </w:r>
      <w:r>
        <w:t xml:space="preserve"> </w:t>
      </w:r>
      <w:r>
        <w:t xml:space="preserve">shall be trained in Basic Life Support (BLS) and Advanced Cardiac Life Support (ACLS) protocols and shall coordinate with the nearest emergency medical services in</w:t>
      </w:r>
      <w:r>
        <w:t xml:space="preserve"> </w:t>
      </w:r>
      <w:r>
        <w:t xml:space="preserve">Indonesia Jakarta</w:t>
      </w:r>
      <w:r>
        <w:t xml:space="preserve"> </w:t>
      </w:r>
      <w:r>
        <w:t xml:space="preserve">in the event of a medical emergency.</w:t>
      </w:r>
    </w:p>
    <w:p>
      <w:pPr>
        <w:numPr>
          <w:ilvl w:val="0"/>
          <w:numId w:val="1001"/>
        </w:numPr>
        <w:pStyle w:val="Compact"/>
      </w:pPr>
      <w:r>
        <w:rPr>
          <w:bCs/>
          <w:b/>
        </w:rPr>
        <w:t xml:space="preserve">Health Education &amp; Counseling:</w:t>
      </w:r>
      <w:r>
        <w:t xml:space="preserve"> </w:t>
      </w:r>
      <w:r>
        <w:t xml:space="preserve">Providing patient and family education regarding medication adherence, dietary guidance, and preventive health measures as part of the</w:t>
      </w:r>
      <w:r>
        <w:t xml:space="preserve"> </w:t>
      </w:r>
      <w:r>
        <w:t xml:space="preserve">Nurse</w:t>
      </w:r>
      <w:r>
        <w:t xml:space="preserve">'s holistic care responsibilities.</w:t>
      </w:r>
    </w:p>
    <w:bookmarkEnd w:id="22"/>
    <w:bookmarkStart w:id="23" w:name="itemized-cost-breakdown"/>
    <w:p>
      <w:pPr>
        <w:pStyle w:val="Heading2"/>
      </w:pPr>
      <w:r>
        <w:t xml:space="preserve">3. Itemized Cost Breakdown</w:t>
      </w:r>
    </w:p>
    <w:p>
      <w:pPr>
        <w:pStyle w:val="FirstParagraph"/>
      </w:pPr>
      <w:r>
        <w:t xml:space="preserve">The following table presents the detailed financial components of this</w:t>
      </w:r>
      <w:r>
        <w:t xml:space="preserve"> </w:t>
      </w:r>
      <w:r>
        <w:t xml:space="preserve">Quotation Estimate</w:t>
      </w:r>
      <w:r>
        <w:t xml:space="preserve"> </w:t>
      </w:r>
      <w:r>
        <w:t xml:space="preserve">for the</w:t>
      </w:r>
      <w:r>
        <w:t xml:space="preserve"> </w:t>
      </w:r>
      <w:r>
        <w:t xml:space="preserve">Nurse</w:t>
      </w:r>
      <w:r>
        <w:t xml:space="preserve"> </w:t>
      </w:r>
      <w:r>
        <w:t xml:space="preserve">service engagement in</w:t>
      </w:r>
      <w:r>
        <w:t xml:space="preserve"> </w:t>
      </w:r>
      <w:r>
        <w:t xml:space="preserve">Indonesia Jakarta</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01</w:t>
            </w:r>
          </w:p>
        </w:tc>
        <w:tc>
          <w:tcPr/>
          <w:p>
            <w:pPr>
              <w:pStyle w:val="Compact"/>
              <w:jc w:val="left"/>
            </w:pPr>
            <w:r>
              <w:t xml:space="preserve">Senior Registered Nurse (Ners) – 24-hour in-home care placement, Indonesia Jakarta</w:t>
            </w:r>
          </w:p>
        </w:tc>
        <w:tc>
          <w:tcPr/>
          <w:p>
            <w:pPr>
              <w:pStyle w:val="Compact"/>
              <w:jc w:val="left"/>
            </w:pPr>
            <w:r>
              <w:t xml:space="preserve">30 days</w:t>
            </w:r>
          </w:p>
        </w:tc>
        <w:tc>
          <w:tcPr/>
          <w:p>
            <w:pPr>
              <w:pStyle w:val="Compact"/>
              <w:jc w:val="left"/>
            </w:pPr>
            <w:r>
              <w:t xml:space="preserve">1,850,000 / day</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Supervising Clinical Nurse Manager – Weekly on-site visits (4 visits/month)</w:t>
            </w:r>
          </w:p>
        </w:tc>
        <w:tc>
          <w:tcPr/>
          <w:p>
            <w:pPr>
              <w:pStyle w:val="Compact"/>
              <w:jc w:val="left"/>
            </w:pPr>
            <w:r>
              <w:t xml:space="preserve">30 days</w:t>
            </w:r>
          </w:p>
        </w:tc>
        <w:tc>
          <w:tcPr/>
          <w:p>
            <w:pPr>
              <w:pStyle w:val="Compact"/>
              <w:jc w:val="left"/>
            </w:pPr>
            <w:r>
              <w:t xml:space="preserve">2,500,000 / visit</w:t>
            </w:r>
          </w:p>
        </w:tc>
        <w:tc>
          <w:tcPr/>
          <w:p>
            <w:pPr>
              <w:pStyle w:val="Compact"/>
              <w:jc w:val="left"/>
            </w:pPr>
            <w:r>
              <w:t xml:space="preserve">10,000,000</w:t>
            </w:r>
          </w:p>
        </w:tc>
      </w:tr>
      <w:tr>
        <w:tc>
          <w:tcPr/>
          <w:p>
            <w:pPr>
              <w:pStyle w:val="Compact"/>
              <w:jc w:val="left"/>
            </w:pPr>
            <w:r>
              <w:t xml:space="preserve">03</w:t>
            </w:r>
          </w:p>
        </w:tc>
        <w:tc>
          <w:tcPr/>
          <w:p>
            <w:pPr>
              <w:pStyle w:val="Compact"/>
              <w:jc w:val="left"/>
            </w:pPr>
            <w:r>
              <w:t xml:space="preserve">Medical supplies &amp; consumables (IV kits, dressings, syringes, PPE)</w:t>
            </w:r>
          </w:p>
        </w:tc>
        <w:tc>
          <w:tcPr/>
          <w:p>
            <w:pPr>
              <w:pStyle w:val="Compact"/>
              <w:jc w:val="left"/>
            </w:pPr>
            <w:r>
              <w:t xml:space="preserve">30 days</w:t>
            </w:r>
          </w:p>
        </w:tc>
        <w:tc>
          <w:tcPr/>
          <w:p>
            <w:pPr>
              <w:pStyle w:val="Compact"/>
              <w:jc w:val="left"/>
            </w:pPr>
            <w:r>
              <w:t xml:space="preserve">—</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Transportation &amp; logistics within Indonesia Jakarta service zone</w:t>
            </w:r>
          </w:p>
        </w:tc>
        <w:tc>
          <w:tcPr/>
          <w:p>
            <w:pPr>
              <w:pStyle w:val="Compact"/>
              <w:jc w:val="left"/>
            </w:pPr>
            <w:r>
              <w:t xml:space="preserve">30 days</w:t>
            </w:r>
          </w:p>
        </w:tc>
        <w:tc>
          <w:tcPr/>
          <w:p>
            <w:pPr>
              <w:pStyle w:val="Compact"/>
              <w:jc w:val="left"/>
            </w:pPr>
            <w:r>
              <w:t xml:space="preserve">350,000 / day</w:t>
            </w:r>
          </w:p>
        </w:tc>
        <w:tc>
          <w:tcPr/>
          <w:p>
            <w:pPr>
              <w:pStyle w:val="Compact"/>
              <w:jc w:val="left"/>
            </w:pPr>
            <w:r>
              <w:t xml:space="preserve">10,500,000</w:t>
            </w:r>
          </w:p>
        </w:tc>
      </w:tr>
      <w:tr>
        <w:tc>
          <w:tcPr/>
          <w:p>
            <w:pPr>
              <w:pStyle w:val="Compact"/>
              <w:jc w:val="left"/>
            </w:pPr>
            <w:r>
              <w:t xml:space="preserve">05</w:t>
            </w:r>
          </w:p>
        </w:tc>
        <w:tc>
          <w:tcPr/>
          <w:p>
            <w:pPr>
              <w:pStyle w:val="Compact"/>
              <w:jc w:val="left"/>
            </w:pPr>
            <w:r>
              <w:t xml:space="preserve">Emergency response &amp; after-hours on-call coverage (Nurse standby)</w:t>
            </w:r>
          </w:p>
        </w:tc>
        <w:tc>
          <w:tcPr/>
          <w:p>
            <w:pPr>
              <w:pStyle w:val="Compact"/>
              <w:jc w:val="left"/>
            </w:pPr>
            <w:r>
              <w:t xml:space="preserve">30 days</w:t>
            </w:r>
          </w:p>
        </w:tc>
        <w:tc>
          <w:tcPr/>
          <w:p>
            <w:pPr>
              <w:pStyle w:val="Compact"/>
              <w:jc w:val="left"/>
            </w:pPr>
            <w:r>
              <w:t xml:space="preserve">—</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Administrative &amp; regulatory compliance fees (PPNI registration, BPJS coordination)</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2,500,000</w:t>
            </w:r>
          </w:p>
        </w:tc>
      </w:tr>
      <w:tr>
        <w:tc>
          <w:tcPr/>
          <w:p>
            <w:pPr>
              <w:pStyle w:val="Compact"/>
              <w:jc w:val="left"/>
            </w:pPr>
            <w:r>
              <w:t xml:space="preserve">07</w:t>
            </w:r>
          </w:p>
        </w:tc>
        <w:tc>
          <w:tcPr/>
          <w:p>
            <w:pPr>
              <w:pStyle w:val="Compact"/>
              <w:jc w:val="left"/>
            </w:pPr>
            <w:r>
              <w:t xml:space="preserve">Monthly clinical documentation &amp; reporting package</w:t>
            </w:r>
          </w:p>
        </w:tc>
        <w:tc>
          <w:tcPr/>
          <w:p>
            <w:pPr>
              <w:pStyle w:val="Compact"/>
              <w:jc w:val="left"/>
            </w:pPr>
            <w:r>
              <w:t xml:space="preserve">30 days</w:t>
            </w:r>
          </w:p>
        </w:tc>
        <w:tc>
          <w:tcPr/>
          <w:p>
            <w:pPr>
              <w:pStyle w:val="Compact"/>
              <w:jc w:val="left"/>
            </w:pPr>
            <w:r>
              <w:t xml:space="preserve">—</w:t>
            </w:r>
          </w:p>
        </w:tc>
        <w:tc>
          <w:tcPr/>
          <w:p>
            <w:pPr>
              <w:pStyle w:val="Compact"/>
              <w:jc w:val="left"/>
            </w:pPr>
            <w:r>
              <w:t xml:space="preserve">1,500,000</w:t>
            </w:r>
          </w:p>
        </w:tc>
      </w:tr>
      <w:tr>
        <w:tc>
          <w:tcPr>
            <w:gridSpan w:val="4"/>
          </w:tcPr>
          <w:p>
            <w:pPr>
              <w:pStyle w:val="Compact"/>
              <w:jc w:val="left"/>
            </w:pPr>
            <w:r>
              <w:t xml:space="preserve">Subtotal (IDR)</w:t>
            </w:r>
          </w:p>
        </w:tc>
        <w:tc>
          <w:tcPr/>
          <w:p>
            <w:pPr>
              <w:pStyle w:val="Compact"/>
              <w:jc w:val="left"/>
            </w:pPr>
            <w:r>
              <w:t xml:space="preserve">92,000,000</w:t>
            </w:r>
          </w:p>
        </w:tc>
      </w:tr>
      <w:tr>
        <w:tc>
          <w:tcPr>
            <w:gridSpan w:val="4"/>
          </w:tcPr>
          <w:p>
            <w:pPr>
              <w:pStyle w:val="Compact"/>
              <w:jc w:val="left"/>
            </w:pPr>
            <w:r>
              <w:t xml:space="preserve">VAT (PPN) 11% – Indonesia Jakarta jurisdiction</w:t>
            </w:r>
          </w:p>
        </w:tc>
        <w:tc>
          <w:tcPr/>
          <w:p>
            <w:pPr>
              <w:pStyle w:val="Compact"/>
              <w:jc w:val="left"/>
            </w:pPr>
            <w:r>
              <w:t xml:space="preserve">10,120,000</w:t>
            </w:r>
          </w:p>
        </w:tc>
      </w:tr>
      <w:tr>
        <w:tc>
          <w:tcPr>
            <w:gridSpan w:val="4"/>
          </w:tcPr>
          <w:p>
            <w:pPr>
              <w:pStyle w:val="Compact"/>
              <w:jc w:val="left"/>
            </w:pPr>
            <w:r>
              <w:rPr>
                <w:bCs/>
                <w:b/>
              </w:rPr>
              <w:t xml:space="preserve">TOTAL QUOTATION ESTIMATE (IDR)</w:t>
            </w:r>
          </w:p>
        </w:tc>
        <w:tc>
          <w:tcPr/>
          <w:p>
            <w:pPr>
              <w:pStyle w:val="Compact"/>
              <w:jc w:val="left"/>
            </w:pPr>
            <w:r>
              <w:rPr>
                <w:bCs/>
                <w:b/>
              </w:rPr>
              <w:t xml:space="preserve">102,120,000</w:t>
            </w:r>
          </w:p>
        </w:tc>
      </w:tr>
    </w:tbl>
    <w:p>
      <w:pPr>
        <w:pStyle w:val="BodyText"/>
      </w:pPr>
      <w:r>
        <w:rPr>
          <w:iCs/>
          <w:i/>
        </w:rPr>
        <w:t xml:space="preserve">Amount in words: One Hundred Two Million One Hundred Twenty Thousand Indonesian Rupiah only.</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for the</w:t>
      </w:r>
      <w:r>
        <w:t xml:space="preserve"> </w:t>
      </w:r>
      <w:r>
        <w:t xml:space="preserve">Nurse</w:t>
      </w:r>
      <w:r>
        <w:t xml:space="preserve"> </w:t>
      </w:r>
      <w:r>
        <w:t xml:space="preserve">service in</w:t>
      </w:r>
      <w:r>
        <w:t xml:space="preserve"> </w:t>
      </w:r>
      <w:r>
        <w:t xml:space="preserve">Indonesia Jakarta</w:t>
      </w:r>
      <w:r>
        <w:t xml:space="preserve"> </w:t>
      </w:r>
      <w:r>
        <w:t xml:space="preserve">are subject to revision based on prevailing market conditions and regulatory adjustments.</w:t>
      </w:r>
    </w:p>
    <w:p>
      <w:pPr>
        <w:numPr>
          <w:ilvl w:val="0"/>
          <w:numId w:val="1002"/>
        </w:numPr>
        <w:pStyle w:val="Compact"/>
      </w:pPr>
      <w:r>
        <w:t xml:space="preserve">Payment terms: 50% advance payment upon acceptance of this</w:t>
      </w:r>
      <w:r>
        <w:t xml:space="preserve"> </w:t>
      </w:r>
      <w:r>
        <w:t xml:space="preserve">Quotation Estimate</w:t>
      </w:r>
      <w:r>
        <w:t xml:space="preserve">, and the remaining 50% due within seven (7) business days following the completion of the 30-day</w:t>
      </w:r>
      <w:r>
        <w:t xml:space="preserve"> </w:t>
      </w:r>
      <w:r>
        <w:t xml:space="preserve">Nurse</w:t>
      </w:r>
      <w:r>
        <w:t xml:space="preserve"> </w:t>
      </w:r>
      <w:r>
        <w:t xml:space="preserve">service period in</w:t>
      </w:r>
      <w:r>
        <w:t xml:space="preserve"> </w:t>
      </w:r>
      <w:r>
        <w:t xml:space="preserve">Indonesia Jakarta</w:t>
      </w:r>
      <w:r>
        <w:t xml:space="preserve">.</w:t>
      </w:r>
    </w:p>
    <w:p>
      <w:pPr>
        <w:numPr>
          <w:ilvl w:val="0"/>
          <w:numId w:val="1002"/>
        </w:numPr>
        <w:pStyle w:val="Compact"/>
      </w:pPr>
      <w:r>
        <w:t xml:space="preserve">All payments shall be made via bank transfer to the designated account of MediCare Professional Services Indonesia. No cash payments for the</w:t>
      </w:r>
      <w:r>
        <w:t xml:space="preserve"> </w:t>
      </w:r>
      <w:r>
        <w:t xml:space="preserve">Nurse</w:t>
      </w:r>
      <w:r>
        <w:t xml:space="preserve"> </w:t>
      </w:r>
      <w:r>
        <w:t xml:space="preserve">engagement will be accepted.</w:t>
      </w:r>
    </w:p>
    <w:p>
      <w:pPr>
        <w:numPr>
          <w:ilvl w:val="0"/>
          <w:numId w:val="1002"/>
        </w:numPr>
        <w:pStyle w:val="Compact"/>
      </w:pPr>
      <w:r>
        <w:t xml:space="preserve">The</w:t>
      </w:r>
      <w:r>
        <w:t xml:space="preserve"> </w:t>
      </w:r>
      <w:r>
        <w:t xml:space="preserve">Nurse</w:t>
      </w:r>
      <w:r>
        <w:t xml:space="preserve"> </w:t>
      </w:r>
      <w:r>
        <w:t xml:space="preserve">assigned under this arrangement shall hold a valid STR (Surat Tanda Registrasi) issued by the Indonesian Ministry of Health and a current PPNI membership card. Copies of credentials shall be provided prior to commencement of service in</w:t>
      </w:r>
      <w:r>
        <w:t xml:space="preserve"> </w:t>
      </w:r>
      <w:r>
        <w:t xml:space="preserve">Indonesia Jakarta</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subject to a separate written amendment and additional</w:t>
      </w:r>
      <w:r>
        <w:t xml:space="preserve"> </w:t>
      </w:r>
      <w:r>
        <w:t xml:space="preserve">Quotation Estimate</w:t>
      </w:r>
      <w:r>
        <w:t xml:space="preserve"> </w:t>
      </w:r>
      <w:r>
        <w:t xml:space="preserve">prior to execution.</w:t>
      </w:r>
    </w:p>
    <w:p>
      <w:pPr>
        <w:numPr>
          <w:ilvl w:val="0"/>
          <w:numId w:val="1002"/>
        </w:numPr>
        <w:pStyle w:val="Compact"/>
      </w:pPr>
      <w:r>
        <w:t xml:space="preserve">This</w:t>
      </w:r>
      <w:r>
        <w:t xml:space="preserve"> </w:t>
      </w:r>
      <w:r>
        <w:t xml:space="preserve">Quotation Estimate</w:t>
      </w:r>
      <w:r>
        <w:t xml:space="preserve"> </w:t>
      </w:r>
      <w:r>
        <w:t xml:space="preserve">does not constitute a service contract. A formal Service Level Agreement (SLA) and employment/engagement contract for the</w:t>
      </w:r>
      <w:r>
        <w:t xml:space="preserve"> </w:t>
      </w:r>
      <w:r>
        <w:t xml:space="preserve">Nurse</w:t>
      </w:r>
      <w:r>
        <w:t xml:space="preserve"> </w:t>
      </w:r>
      <w:r>
        <w:t xml:space="preserve">shall be executed separately upon mutual acceptance.</w:t>
      </w:r>
    </w:p>
    <w:p>
      <w:pPr>
        <w:numPr>
          <w:ilvl w:val="0"/>
          <w:numId w:val="1002"/>
        </w:numPr>
        <w:pStyle w:val="Compact"/>
      </w:pPr>
      <w:r>
        <w:t xml:space="preserve">Force majeure events, including but not limited to natural disasters, government-mandated lockdowns, or public health emergencies affecting</w:t>
      </w:r>
      <w:r>
        <w:t xml:space="preserve"> </w:t>
      </w:r>
      <w:r>
        <w:t xml:space="preserve">Indonesia Jakarta</w:t>
      </w:r>
      <w:r>
        <w:t xml:space="preserve">, may result in service interruption without penalty to either party.</w:t>
      </w:r>
    </w:p>
    <w:p>
      <w:pPr>
        <w:pStyle w:val="FirstParagraph"/>
      </w:pPr>
      <w:r>
        <w:rPr>
          <w:bCs/>
          <w:b/>
        </w:rPr>
        <w:t xml:space="preserve">Important Note:</w:t>
      </w:r>
      <w:r>
        <w:t xml:space="preserve"> </w:t>
      </w:r>
      <w:r>
        <w:t xml:space="preserve">This</w:t>
      </w:r>
      <w:r>
        <w:t xml:space="preserve"> </w:t>
      </w:r>
      <w:r>
        <w:t xml:space="preserve">Quotation Estimate</w:t>
      </w:r>
      <w:r>
        <w:t xml:space="preserve"> </w:t>
      </w:r>
      <w:r>
        <w:t xml:space="preserve">for</w:t>
      </w:r>
      <w:r>
        <w:t xml:space="preserve"> </w:t>
      </w:r>
      <w:r>
        <w:t xml:space="preserve">Nurse</w:t>
      </w:r>
      <w:r>
        <w:t xml:space="preserve"> </w:t>
      </w:r>
      <w:r>
        <w:t xml:space="preserve">services in</w:t>
      </w:r>
      <w:r>
        <w:t xml:space="preserve"> </w:t>
      </w:r>
      <w:r>
        <w:t xml:space="preserve">Indonesia Jakarta</w:t>
      </w:r>
      <w:r>
        <w:t xml:space="preserve"> </w:t>
      </w:r>
      <w:r>
        <w:t xml:space="preserve">assumes standard operating conditions. If the patient's clinical condition requires specialized ICU-level nursing care, a revised</w:t>
      </w:r>
      <w:r>
        <w:t xml:space="preserve"> </w:t>
      </w:r>
      <w:r>
        <w:t xml:space="preserve">Quotation Estimate</w:t>
      </w:r>
      <w:r>
        <w:t xml:space="preserve"> </w:t>
      </w:r>
      <w:r>
        <w:t xml:space="preserve">with adjusted rates will be issued within 48 hours of the clinical team's assessment.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w:t>
      </w:r>
      <w:r>
        <w:t xml:space="preserve"> </w:t>
      </w:r>
      <w:r>
        <w:t xml:space="preserve">Nurse</w:t>
      </w:r>
      <w:r>
        <w:t xml:space="preserve"> </w:t>
      </w:r>
      <w:r>
        <w:t xml:space="preserve">service engagement in</w:t>
      </w:r>
      <w:r>
        <w:t xml:space="preserve"> </w:t>
      </w:r>
      <w:r>
        <w:t xml:space="preserve">Indonesia Jakarta</w:t>
      </w:r>
      <w:r>
        <w:t xml:space="preserve">. This signature authorizes MediCare Professional Services Indonesia to proceed with</w:t>
      </w:r>
      <w:r>
        <w:t xml:space="preserve"> </w:t>
      </w:r>
      <w:r>
        <w:t xml:space="preserve">Nurse</w:t>
      </w:r>
      <w:r>
        <w:t xml:space="preserve"> </w:t>
      </w:r>
      <w:r>
        <w:t xml:space="preserve">recruitment, credentialing, and deployment as outlined herein.</w:t>
      </w:r>
    </w:p>
    <w:p>
      <w:pPr>
        <w:pStyle w:val="BodyText"/>
      </w:pPr>
      <w:r>
        <w:rPr>
          <w:bCs/>
          <w:b/>
        </w:rPr>
        <w:t xml:space="preserve">Prepared By (MediCare Professional Services Indonesia)</w:t>
      </w:r>
      <w:r>
        <w:br/>
      </w:r>
      <w:r>
        <w:t xml:space="preserve">Dr. Hendra Wijaya, S.Kep., Ners.</w:t>
      </w:r>
      <w:r>
        <w:br/>
      </w:r>
      <w:r>
        <w:t xml:space="preserve">Director of Clinical Operations</w:t>
      </w:r>
      <w:r>
        <w:br/>
      </w:r>
      <w:r>
        <w:t xml:space="preserve">Date: _______________</w:t>
      </w:r>
    </w:p>
    <w:p>
      <w:pPr>
        <w:pStyle w:val="BodyText"/>
      </w:pPr>
      <w:r>
        <w:rPr>
          <w:bCs/>
          <w:b/>
        </w:rPr>
        <w:t xml:space="preserve">Accepted By (Client Representative)</w:t>
      </w:r>
      <w:r>
        <w:br/>
      </w:r>
      <w:r>
        <w:t xml:space="preserve">Mrs. Dewi Anggraini</w:t>
      </w:r>
      <w:r>
        <w:br/>
      </w:r>
      <w:r>
        <w:t xml:space="preserve">Director, PT. Nusantara Wellness Group</w:t>
      </w:r>
      <w:r>
        <w:br/>
      </w:r>
      <w:r>
        <w:t xml:space="preserve">Date: _______________</w:t>
      </w:r>
    </w:p>
    <w:p>
      <w:pPr>
        <w:pStyle w:val="BodyText"/>
      </w:pPr>
      <w:r>
        <w:t xml:space="preserve">This Quotation Estimate document (Ref: QTE-JKT-2025-00847) is the property of MediCare Professional Services Indonesia and is intended solely for the named recipient. Unauthorized reproduction or distribution of this Quotation Estimate for Nurse services in Indonesia Jakarta is strictly prohibited. © 2025 MediCare Professional Services Indonesia.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Indonesia Jakarta</dc:title>
  <dc:creator/>
  <dc:language>en</dc:language>
  <cp:keywords/>
  <dcterms:created xsi:type="dcterms:W3CDTF">2026-10-10T05:50:28Z</dcterms:created>
  <dcterms:modified xsi:type="dcterms:W3CDTF">2026-10-10T05:50:28Z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