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Nurse Care Services</w:t>
      </w:r>
    </w:p>
    <w:p>
      <w:pPr>
        <w:pStyle w:val="BodyText"/>
      </w:pPr>
      <w:r>
        <w:t xml:space="preserve">Israel Tel Aviv</w:t>
      </w:r>
      <w:r>
        <w:t xml:space="preserve"> </w:t>
      </w:r>
      <w:r>
        <w:t xml:space="preserve">— Licensed Healthcare Provider</w:t>
      </w:r>
    </w:p>
    <w:p>
      <w:pPr>
        <w:pStyle w:val="BodyText"/>
      </w:pPr>
      <w:r>
        <w:t xml:space="preserve">Quotation Reference No: QTE-TLV-2025-04871 | Valid Until: 30 Days from Issue Date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15 July 2025</w:t>
            </w:r>
          </w:p>
        </w:tc>
      </w:tr>
      <w:tr>
        <w:tc>
          <w:tcPr/>
          <w:p>
            <w:pPr>
              <w:pStyle w:val="Compact"/>
              <w:jc w:val="left"/>
            </w:pPr>
            <w:r>
              <w:t xml:space="preserve">Service Location</w:t>
            </w:r>
          </w:p>
        </w:tc>
        <w:tc>
          <w:tcPr/>
          <w:p>
            <w:pPr>
              <w:pStyle w:val="Compact"/>
              <w:jc w:val="left"/>
            </w:pPr>
            <w:r>
              <w:t xml:space="preserve">Tel Aviv-Yafo, Israel</w:t>
            </w:r>
          </w:p>
        </w:tc>
        <w:tc>
          <w:tcPr/>
          <w:p>
            <w:pPr>
              <w:pStyle w:val="Compact"/>
              <w:jc w:val="left"/>
            </w:pPr>
            <w:r>
              <w:t xml:space="preserve">Service Type</w:t>
            </w:r>
          </w:p>
        </w:tc>
        <w:tc>
          <w:tcPr/>
          <w:p>
            <w:pPr>
              <w:pStyle w:val="Compact"/>
              <w:jc w:val="left"/>
            </w:pPr>
            <w:r>
              <w:t xml:space="preserve">In-Home / Facility-Based Nurse Care</w:t>
            </w:r>
          </w:p>
        </w:tc>
      </w:tr>
      <w:tr>
        <w:tc>
          <w:tcPr/>
          <w:p>
            <w:pPr>
              <w:pStyle w:val="Compact"/>
              <w:jc w:val="left"/>
            </w:pPr>
            <w:r>
              <w:t xml:space="preserve">Prepared For</w:t>
            </w:r>
          </w:p>
        </w:tc>
        <w:tc>
          <w:tcPr/>
          <w:p>
            <w:pPr>
              <w:pStyle w:val="Compact"/>
              <w:jc w:val="left"/>
            </w:pPr>
            <w:r>
              <w:t xml:space="preserve">Client Name: _________________________</w:t>
            </w:r>
          </w:p>
        </w:tc>
        <w:tc>
          <w:tcPr/>
          <w:p>
            <w:pPr>
              <w:pStyle w:val="Compact"/>
              <w:jc w:val="left"/>
            </w:pPr>
            <w:r>
              <w:t xml:space="preserve">Client Address</w:t>
            </w:r>
          </w:p>
        </w:tc>
        <w:tc>
          <w:tcPr/>
          <w:p>
            <w:pPr>
              <w:pStyle w:val="Compact"/>
              <w:jc w:val="left"/>
            </w:pPr>
            <w:r>
              <w:t xml:space="preserve">Tel Aviv, Israel</w:t>
            </w:r>
          </w:p>
        </w:tc>
      </w:tr>
      <w:tr>
        <w:tc>
          <w:tcPr/>
          <w:p>
            <w:pPr>
              <w:pStyle w:val="Compact"/>
              <w:jc w:val="left"/>
            </w:pPr>
            <w:r>
              <w:t xml:space="preserve">Prepared By</w:t>
            </w:r>
          </w:p>
        </w:tc>
        <w:tc>
          <w:tcPr/>
          <w:p>
            <w:pPr>
              <w:pStyle w:val="Compact"/>
              <w:jc w:val="left"/>
            </w:pPr>
            <w:r>
              <w:t xml:space="preserve">MediCare Tel Aviv Nursing Services Ltd.</w:t>
            </w:r>
          </w:p>
        </w:tc>
        <w:tc>
          <w:tcPr/>
          <w:p>
            <w:pPr>
              <w:pStyle w:val="Compact"/>
              <w:jc w:val="left"/>
            </w:pPr>
            <w:r>
              <w:t xml:space="preserve">License No.</w:t>
            </w:r>
          </w:p>
        </w:tc>
        <w:tc>
          <w:tcPr/>
          <w:p>
            <w:pPr>
              <w:pStyle w:val="Compact"/>
              <w:jc w:val="left"/>
            </w:pPr>
            <w:r>
              <w:t xml:space="preserve">IL-CLIN-2024-88341</w:t>
            </w:r>
          </w:p>
        </w:tc>
      </w:tr>
      <w:tr>
        <w:tc>
          <w:tcPr/>
          <w:p>
            <w:pPr>
              <w:pStyle w:val="Compact"/>
              <w:jc w:val="left"/>
            </w:pPr>
            <w:r>
              <w:t xml:space="preserve">Contact</w:t>
            </w:r>
          </w:p>
        </w:tc>
        <w:tc>
          <w:tcPr/>
          <w:p>
            <w:pPr>
              <w:pStyle w:val="Compact"/>
              <w:jc w:val="left"/>
            </w:pPr>
            <w:r>
              <w:t xml:space="preserve">info@medicare-tlv.co.il | +972-3-555-0142</w:t>
            </w:r>
          </w:p>
        </w:tc>
        <w:tc>
          <w:tcPr/>
          <w:p>
            <w:pPr>
              <w:pStyle w:val="Compact"/>
              <w:jc w:val="left"/>
            </w:pPr>
            <w:r>
              <w:t xml:space="preserve">VAT No.</w:t>
            </w:r>
          </w:p>
        </w:tc>
        <w:tc>
          <w:tcPr/>
          <w:p>
            <w:pPr>
              <w:pStyle w:val="Compact"/>
              <w:jc w:val="left"/>
            </w:pPr>
            <w:r>
              <w:t xml:space="preserve">51-800-4421</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MediCare Tel Aviv Nursing Services Ltd. to provide a comprehensive, itemized financial projection for the engagement of a qualified, licensed Nurse to deliver professional healthcare services within the Tel Aviv metropolitan area, Israel. This Quotation Estimate is intended to serve as a binding financial reference for the client and does not constitute a final invoice. All pricing reflected in this Quotation Estimate is based on current market rates for Nurse services in Israel Tel Aviv as of the date of issue and is subject to the terms and conditions outlined herein.</w:t>
      </w:r>
    </w:p>
    <w:bookmarkEnd w:id="21"/>
    <w:bookmarkStart w:id="22" w:name="X8833f79fa329d207e3b1da1ae845b39a85d8858"/>
    <w:p>
      <w:pPr>
        <w:pStyle w:val="Heading2"/>
      </w:pPr>
      <w:r>
        <w:t xml:space="preserve">2. Scope of Nurse Services in Israel Tel Aviv</w:t>
      </w:r>
    </w:p>
    <w:p>
      <w:pPr>
        <w:pStyle w:val="FirstParagraph"/>
      </w:pPr>
      <w:r>
        <w:t xml:space="preserve">The Nurse services detailed in this Quotation Estimate are designed to meet the regulatory standards set forth by the Israeli Ministry of Health and the Tel Aviv-Yafo Municipal Health Authority. The Nurse assigned to this engagement will hold a valid Israeli nursing license (Rishui Le'Amirut) and will operate in full compliance with all applicable healthcare regulations in Israel Tel Aviv. The scope of Nurse care includes but is not limited to the following clinical and supportive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Nurse Service Description</w:t>
            </w:r>
          </w:p>
        </w:tc>
        <w:tc>
          <w:tcPr/>
          <w:p>
            <w:pPr>
              <w:pStyle w:val="Compact"/>
              <w:jc w:val="left"/>
            </w:pPr>
            <w:r>
              <w:t xml:space="preserve">Frequency</w:t>
            </w:r>
          </w:p>
        </w:tc>
        <w:tc>
          <w:tcPr/>
          <w:p>
            <w:pPr>
              <w:pStyle w:val="Compact"/>
              <w:jc w:val="left"/>
            </w:pPr>
            <w:r>
              <w:t xml:space="preserve">Duration (Hours)</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Initial Comprehensive Patient Assessment &amp; Care Plan Development by Licensed Nurse</w:t>
            </w:r>
          </w:p>
        </w:tc>
        <w:tc>
          <w:tcPr/>
          <w:p>
            <w:pPr>
              <w:pStyle w:val="Compact"/>
              <w:jc w:val="left"/>
            </w:pPr>
            <w:r>
              <w:t xml:space="preserve">One-time</w:t>
            </w:r>
          </w:p>
        </w:tc>
        <w:tc>
          <w:tcPr/>
          <w:p>
            <w:pPr>
              <w:pStyle w:val="Compact"/>
              <w:jc w:val="left"/>
            </w:pPr>
            <w:r>
              <w:t xml:space="preserve">3.0</w:t>
            </w:r>
          </w:p>
        </w:tc>
        <w:tc>
          <w:tcPr/>
          <w:p>
            <w:pPr>
              <w:pStyle w:val="Compact"/>
              <w:jc w:val="left"/>
            </w:pPr>
            <w:r>
              <w:t xml:space="preserve">450</w:t>
            </w:r>
          </w:p>
        </w:tc>
        <w:tc>
          <w:tcPr/>
          <w:p>
            <w:pPr>
              <w:pStyle w:val="Compact"/>
              <w:jc w:val="left"/>
            </w:pPr>
            <w:r>
              <w:t xml:space="preserve">1,350</w:t>
            </w:r>
          </w:p>
        </w:tc>
      </w:tr>
      <w:tr>
        <w:tc>
          <w:tcPr/>
          <w:p>
            <w:pPr>
              <w:pStyle w:val="Compact"/>
              <w:jc w:val="left"/>
            </w:pPr>
            <w:r>
              <w:t xml:space="preserve">02</w:t>
            </w:r>
          </w:p>
        </w:tc>
        <w:tc>
          <w:tcPr/>
          <w:p>
            <w:pPr>
              <w:pStyle w:val="Compact"/>
              <w:jc w:val="left"/>
            </w:pPr>
            <w:r>
              <w:t xml:space="preserve">Daily In-Home Nurse Visits: Vital Signs Monitoring, Medication Administration &amp; Wound Care</w:t>
            </w:r>
          </w:p>
        </w:tc>
        <w:tc>
          <w:tcPr/>
          <w:p>
            <w:pPr>
              <w:pStyle w:val="Compact"/>
              <w:jc w:val="left"/>
            </w:pPr>
            <w:r>
              <w:t xml:space="preserve">5 days/week</w:t>
            </w:r>
          </w:p>
        </w:tc>
        <w:tc>
          <w:tcPr/>
          <w:p>
            <w:pPr>
              <w:pStyle w:val="Compact"/>
              <w:jc w:val="left"/>
            </w:pPr>
            <w:r>
              <w:t xml:space="preserve">4.0</w:t>
            </w:r>
          </w:p>
        </w:tc>
        <w:tc>
          <w:tcPr/>
          <w:p>
            <w:pPr>
              <w:pStyle w:val="Compact"/>
              <w:jc w:val="left"/>
            </w:pPr>
            <w:r>
              <w:t xml:space="preserve">380</w:t>
            </w:r>
          </w:p>
        </w:tc>
        <w:tc>
          <w:tcPr/>
          <w:p>
            <w:pPr>
              <w:pStyle w:val="Compact"/>
              <w:jc w:val="left"/>
            </w:pPr>
            <w:r>
              <w:t xml:space="preserve">7,600</w:t>
            </w:r>
          </w:p>
        </w:tc>
      </w:tr>
      <w:tr>
        <w:tc>
          <w:tcPr/>
          <w:p>
            <w:pPr>
              <w:pStyle w:val="Compact"/>
              <w:jc w:val="left"/>
            </w:pPr>
            <w:r>
              <w:t xml:space="preserve">03</w:t>
            </w:r>
          </w:p>
        </w:tc>
        <w:tc>
          <w:tcPr/>
          <w:p>
            <w:pPr>
              <w:pStyle w:val="Compact"/>
              <w:jc w:val="left"/>
            </w:pPr>
            <w:r>
              <w:t xml:space="preserve">Post-Surgical Recovery Nurse Support: Dressing Changes, Pain Management &amp; Mobility Assistance</w:t>
            </w:r>
          </w:p>
        </w:tc>
        <w:tc>
          <w:tcPr/>
          <w:p>
            <w:pPr>
              <w:pStyle w:val="Compact"/>
              <w:jc w:val="left"/>
            </w:pPr>
            <w:r>
              <w:t xml:space="preserve">7 days/week</w:t>
            </w:r>
          </w:p>
        </w:tc>
        <w:tc>
          <w:tcPr/>
          <w:p>
            <w:pPr>
              <w:pStyle w:val="Compact"/>
              <w:jc w:val="left"/>
            </w:pPr>
            <w:r>
              <w:t xml:space="preserve">6.0</w:t>
            </w:r>
          </w:p>
        </w:tc>
        <w:tc>
          <w:tcPr/>
          <w:p>
            <w:pPr>
              <w:pStyle w:val="Compact"/>
              <w:jc w:val="left"/>
            </w:pPr>
            <w:r>
              <w:t xml:space="preserve">420</w:t>
            </w:r>
          </w:p>
        </w:tc>
        <w:tc>
          <w:tcPr/>
          <w:p>
            <w:pPr>
              <w:pStyle w:val="Compact"/>
              <w:jc w:val="left"/>
            </w:pPr>
            <w:r>
              <w:t xml:space="preserve">17,640</w:t>
            </w:r>
          </w:p>
        </w:tc>
      </w:tr>
      <w:tr>
        <w:tc>
          <w:tcPr/>
          <w:p>
            <w:pPr>
              <w:pStyle w:val="Compact"/>
              <w:jc w:val="left"/>
            </w:pPr>
            <w:r>
              <w:t xml:space="preserve">04</w:t>
            </w:r>
          </w:p>
        </w:tc>
        <w:tc>
          <w:tcPr/>
          <w:p>
            <w:pPr>
              <w:pStyle w:val="Compact"/>
              <w:jc w:val="left"/>
            </w:pPr>
            <w:r>
              <w:t xml:space="preserve">Chronic Disease Management: Diabetes Monitoring, Insulin Administration &amp; Patient Education by Nurse</w:t>
            </w:r>
          </w:p>
        </w:tc>
        <w:tc>
          <w:tcPr/>
          <w:p>
            <w:pPr>
              <w:pStyle w:val="Compact"/>
              <w:jc w:val="left"/>
            </w:pPr>
            <w:r>
              <w:t xml:space="preserve">3 days/week</w:t>
            </w:r>
          </w:p>
        </w:tc>
        <w:tc>
          <w:tcPr/>
          <w:p>
            <w:pPr>
              <w:pStyle w:val="Compact"/>
              <w:jc w:val="left"/>
            </w:pPr>
            <w:r>
              <w:t xml:space="preserve">3.0</w:t>
            </w:r>
          </w:p>
        </w:tc>
        <w:tc>
          <w:tcPr/>
          <w:p>
            <w:pPr>
              <w:pStyle w:val="Compact"/>
              <w:jc w:val="left"/>
            </w:pPr>
            <w:r>
              <w:t xml:space="preserve">400</w:t>
            </w:r>
          </w:p>
        </w:tc>
        <w:tc>
          <w:tcPr/>
          <w:p>
            <w:pPr>
              <w:pStyle w:val="Compact"/>
              <w:jc w:val="left"/>
            </w:pPr>
            <w:r>
              <w:t xml:space="preserve">3,600</w:t>
            </w:r>
          </w:p>
        </w:tc>
      </w:tr>
      <w:tr>
        <w:tc>
          <w:tcPr/>
          <w:p>
            <w:pPr>
              <w:pStyle w:val="Compact"/>
              <w:jc w:val="left"/>
            </w:pPr>
            <w:r>
              <w:t xml:space="preserve">05</w:t>
            </w:r>
          </w:p>
        </w:tc>
        <w:tc>
          <w:tcPr/>
          <w:p>
            <w:pPr>
              <w:pStyle w:val="Compact"/>
              <w:jc w:val="left"/>
            </w:pPr>
            <w:r>
              <w:t xml:space="preserve">Emergency Nurse Response &amp; On-Call Availability (Tel Aviv Coverage Zone)</w:t>
            </w:r>
          </w:p>
        </w:tc>
        <w:tc>
          <w:tcPr/>
          <w:p>
            <w:pPr>
              <w:pStyle w:val="Compact"/>
              <w:jc w:val="left"/>
            </w:pPr>
            <w:r>
              <w:t xml:space="preserve">24/7 standby</w:t>
            </w:r>
          </w:p>
        </w:tc>
        <w:tc>
          <w:tcPr/>
          <w:p>
            <w:pPr>
              <w:pStyle w:val="Compact"/>
              <w:jc w:val="left"/>
            </w:pPr>
            <w:r>
              <w:t xml:space="preserve">Monthly</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06</w:t>
            </w:r>
          </w:p>
        </w:tc>
        <w:tc>
          <w:tcPr/>
          <w:p>
            <w:pPr>
              <w:pStyle w:val="Compact"/>
              <w:jc w:val="left"/>
            </w:pPr>
            <w:r>
              <w:t xml:space="preserve">Coordination with Tel Aviv Hospital Network (Ichilov, Assuta, Shaare Zedek) for Nurse Referrals</w:t>
            </w:r>
          </w:p>
        </w:tc>
        <w:tc>
          <w:tcPr/>
          <w:p>
            <w:pPr>
              <w:pStyle w:val="Compact"/>
              <w:jc w:val="left"/>
            </w:pPr>
            <w:r>
              <w:t xml:space="preserve">As needed</w:t>
            </w:r>
          </w:p>
        </w:tc>
        <w:tc>
          <w:tcPr/>
          <w:p>
            <w:pPr>
              <w:pStyle w:val="Compact"/>
              <w:jc w:val="left"/>
            </w:pPr>
            <w:r>
              <w:t xml:space="preserve">2.0</w:t>
            </w:r>
          </w:p>
        </w:tc>
        <w:tc>
          <w:tcPr/>
          <w:p>
            <w:pPr>
              <w:pStyle w:val="Compact"/>
              <w:jc w:val="left"/>
            </w:pPr>
            <w:r>
              <w:t xml:space="preserve">350</w:t>
            </w:r>
          </w:p>
        </w:tc>
        <w:tc>
          <w:tcPr/>
          <w:p>
            <w:pPr>
              <w:pStyle w:val="Compact"/>
              <w:jc w:val="left"/>
            </w:pPr>
            <w:r>
              <w:t xml:space="preserve">700</w:t>
            </w:r>
          </w:p>
        </w:tc>
      </w:tr>
      <w:tr>
        <w:tc>
          <w:tcPr/>
          <w:p>
            <w:pPr>
              <w:pStyle w:val="Compact"/>
              <w:jc w:val="left"/>
            </w:pPr>
            <w:r>
              <w:t xml:space="preserve">07</w:t>
            </w:r>
          </w:p>
        </w:tc>
        <w:tc>
          <w:tcPr/>
          <w:p>
            <w:pPr>
              <w:pStyle w:val="Compact"/>
              <w:jc w:val="left"/>
            </w:pPr>
            <w:r>
              <w:t xml:space="preserve">Weekly Progress Reports &amp; Care Plan Review Meetings (Nurse &amp; Family)</w:t>
            </w:r>
          </w:p>
        </w:tc>
        <w:tc>
          <w:tcPr/>
          <w:p>
            <w:pPr>
              <w:pStyle w:val="Compact"/>
              <w:jc w:val="left"/>
            </w:pPr>
            <w:r>
              <w:t xml:space="preserve">Weekly</w:t>
            </w:r>
          </w:p>
        </w:tc>
        <w:tc>
          <w:tcPr/>
          <w:p>
            <w:pPr>
              <w:pStyle w:val="Compact"/>
              <w:jc w:val="left"/>
            </w:pPr>
            <w:r>
              <w:t xml:space="preserve">1.0</w:t>
            </w:r>
          </w:p>
        </w:tc>
        <w:tc>
          <w:tcPr/>
          <w:p>
            <w:pPr>
              <w:pStyle w:val="Compact"/>
              <w:jc w:val="left"/>
            </w:pPr>
            <w:r>
              <w:t xml:space="preserve">300</w:t>
            </w:r>
          </w:p>
        </w:tc>
        <w:tc>
          <w:tcPr/>
          <w:p>
            <w:pPr>
              <w:pStyle w:val="Compact"/>
              <w:jc w:val="left"/>
            </w:pPr>
            <w:r>
              <w:t xml:space="preserve">300</w:t>
            </w:r>
          </w:p>
        </w:tc>
      </w:tr>
      <w:tr>
        <w:tc>
          <w:tcPr>
            <w:gridSpan w:val="5"/>
          </w:tcPr>
          <w:p>
            <w:pPr>
              <w:pStyle w:val="Compact"/>
              <w:jc w:val="left"/>
            </w:pPr>
            <w:r>
              <w:t xml:space="preserve">TOTAL ESTIMATED MONTHLY COST (Before VAT)</w:t>
            </w:r>
          </w:p>
        </w:tc>
        <w:tc>
          <w:tcPr/>
          <w:p>
            <w:pPr>
              <w:pStyle w:val="Compact"/>
              <w:jc w:val="left"/>
            </w:pPr>
            <w:r>
              <w:t xml:space="preserve">32,390</w:t>
            </w:r>
          </w:p>
        </w:tc>
      </w:tr>
      <w:tr>
        <w:tc>
          <w:tcPr>
            <w:gridSpan w:val="5"/>
          </w:tcPr>
          <w:p>
            <w:pPr>
              <w:pStyle w:val="Compact"/>
              <w:jc w:val="left"/>
            </w:pPr>
            <w:r>
              <w:t xml:space="preserve">VAT (18% - Israel Standard Rate)</w:t>
            </w:r>
          </w:p>
        </w:tc>
        <w:tc>
          <w:tcPr/>
          <w:p>
            <w:pPr>
              <w:pStyle w:val="Compact"/>
              <w:jc w:val="left"/>
            </w:pPr>
            <w:r>
              <w:t xml:space="preserve">5,830.20</w:t>
            </w:r>
          </w:p>
        </w:tc>
      </w:tr>
      <w:tr>
        <w:tc>
          <w:tcPr>
            <w:gridSpan w:val="5"/>
          </w:tcPr>
          <w:p>
            <w:pPr>
              <w:pStyle w:val="Compact"/>
              <w:jc w:val="left"/>
            </w:pPr>
            <w:r>
              <w:t xml:space="preserve">GRAND TOTAL (Monthly, VAT Included)</w:t>
            </w:r>
          </w:p>
        </w:tc>
        <w:tc>
          <w:tcPr/>
          <w:p>
            <w:pPr>
              <w:pStyle w:val="Compact"/>
              <w:jc w:val="left"/>
            </w:pPr>
            <w:r>
              <w:t xml:space="preserve">38,220.20</w:t>
            </w:r>
          </w:p>
        </w:tc>
      </w:tr>
    </w:tbl>
    <w:bookmarkEnd w:id="22"/>
    <w:bookmarkStart w:id="23" w:name="X213c76e00720c585da2d9f1796f141be59afb33"/>
    <w:p>
      <w:pPr>
        <w:pStyle w:val="Heading2"/>
      </w:pPr>
      <w:r>
        <w:t xml:space="preserve">3. Nurse Qualifications &amp; Regulatory Compliance in Israel Tel Aviv</w:t>
      </w:r>
    </w:p>
    <w:p>
      <w:pPr>
        <w:pStyle w:val="FirstParagraph"/>
      </w:pPr>
      <w:r>
        <w:t xml:space="preserve">All Nurse personnel dispatched under this Quotation Estimate will be registered with the Israeli Nursing Council and will possess a minimum of three (3) years of clinical experience in acute or home-care settings within Israel Tel Aviv. The Nurse will be fluent in Hebrew and English to ensure seamless communication with the patient, family members, and referring physicians. In accordance with Israeli healthcare law, the Nurse will carry professional liability insurance with a minimum coverage of 2,000,000 ILS, and all services will be conducted under the supervision of a designated Medical Director licensed in the Tel Aviv-Yafo district.</w:t>
      </w:r>
    </w:p>
    <w:bookmarkEnd w:id="23"/>
    <w:bookmarkStart w:id="25" w:name="X06f751c0fef37426aad28df54ec1acd620508e5"/>
    <w:p>
      <w:pPr>
        <w:pStyle w:val="Heading2"/>
      </w:pPr>
      <w:r>
        <w:t xml:space="preserve">4. Terms &amp; Conditions of This Quotation Estimate</w:t>
      </w:r>
    </w:p>
    <w:bookmarkStart w:id="24" w:name="X8590c63cf04b449c4bdce34999ff961de8b5252"/>
    <w:p>
      <w:pPr>
        <w:pStyle w:val="Heading3"/>
      </w:pPr>
      <w:r>
        <w:t xml:space="preserve">Important Notes Regarding This Quotation Estimate</w:t>
      </w:r>
    </w:p>
    <w:p>
      <w:pPr>
        <w:numPr>
          <w:ilvl w:val="0"/>
          <w:numId w:val="1001"/>
        </w:numPr>
        <w:pStyle w:val="Compact"/>
      </w:pPr>
      <w:r>
        <w:t xml:space="preserve">This Quotation Estimate is valid for thirty (30) calendar days from the date of issue. After this period, all Nurse service rates may be subject to revision based on market conditions in Israel Tel Aviv.</w:t>
      </w:r>
    </w:p>
    <w:p>
      <w:pPr>
        <w:numPr>
          <w:ilvl w:val="0"/>
          <w:numId w:val="1001"/>
        </w:numPr>
        <w:pStyle w:val="Compact"/>
      </w:pPr>
      <w:r>
        <w:t xml:space="preserve">Payment terms: 50% of the monthly Nurse service fee is due on the 1st of each month, and the remaining 50% is due on the 15th. Payment shall be made via bank transfer to the account of MediCare Tel Aviv Nursing Services Ltd.</w:t>
      </w:r>
    </w:p>
    <w:p>
      <w:pPr>
        <w:numPr>
          <w:ilvl w:val="0"/>
          <w:numId w:val="1001"/>
        </w:numPr>
        <w:pStyle w:val="Compact"/>
      </w:pPr>
      <w:r>
        <w:t xml:space="preserve">Any additional Nurse services beyond the scope outlined in this Quotation Estimate will be billed separately at the standard hourly rate of 420 ILS per hour, plus applicable VAT.</w:t>
      </w:r>
    </w:p>
    <w:p>
      <w:pPr>
        <w:numPr>
          <w:ilvl w:val="0"/>
          <w:numId w:val="1001"/>
        </w:numPr>
        <w:pStyle w:val="Compact"/>
      </w:pPr>
      <w:r>
        <w:t xml:space="preserve">The client reserves the right to request a different Nurse assignment with 48 hours' written notice. No additional fee will apply for a single Nurse substitution per calendar month.</w:t>
      </w:r>
    </w:p>
    <w:p>
      <w:pPr>
        <w:numPr>
          <w:ilvl w:val="0"/>
          <w:numId w:val="1001"/>
        </w:numPr>
        <w:pStyle w:val="Compact"/>
      </w:pPr>
      <w:r>
        <w:t xml:space="preserve">All Nurse services in Israel Tel Aviv are subject to the Israeli Consumer Protection Law and the regulations of the Ministry of Health. Disputes shall be resolved under the jurisdiction of the Tel Aviv District Court.</w:t>
      </w:r>
    </w:p>
    <w:p>
      <w:pPr>
        <w:numPr>
          <w:ilvl w:val="0"/>
          <w:numId w:val="1001"/>
        </w:numPr>
        <w:pStyle w:val="Compact"/>
      </w:pPr>
      <w:r>
        <w:t xml:space="preserve">Cancellation of the Nurse engagement requires a minimum of fourteen (14) days' written notice. Failure to provide adequate notice will result in a cancellation fee equal to one week of Nurse services.</w:t>
      </w:r>
    </w:p>
    <w:p>
      <w:pPr>
        <w:numPr>
          <w:ilvl w:val="0"/>
          <w:numId w:val="1001"/>
        </w:numPr>
        <w:pStyle w:val="Compact"/>
      </w:pPr>
      <w:r>
        <w:t xml:space="preserve">This Quotation Estimate does not include the cost of medical supplies, medications, or specialized equipment unless explicitly stated in a supplementary addendum.</w:t>
      </w:r>
    </w:p>
    <w:p>
      <w:pPr>
        <w:numPr>
          <w:ilvl w:val="0"/>
          <w:numId w:val="1001"/>
        </w:numPr>
        <w:pStyle w:val="Compact"/>
      </w:pPr>
      <w:r>
        <w:t xml:space="preserve">All personal health data collected by the Nurse during service delivery in Israel Tel Aviv will be handled in strict accordance with the Israeli Privacy Protection Law, 5741-1981, and the EU General Data Protection Regulation (GDPR) where applicable.</w:t>
      </w:r>
    </w:p>
    <w:bookmarkEnd w:id="24"/>
    <w:bookmarkEnd w:id="25"/>
    <w:bookmarkStart w:id="26" w:name="acceptance-authorization"/>
    <w:p>
      <w:pPr>
        <w:pStyle w:val="Heading2"/>
      </w:pPr>
      <w:r>
        <w:t xml:space="preserve">5. Acceptance &amp; Authorization</w:t>
      </w:r>
    </w:p>
    <w:p>
      <w:pPr>
        <w:pStyle w:val="FirstParagraph"/>
      </w:pPr>
      <w:r>
        <w:t xml:space="preserve">By signing below, the client acknowledges receipt of this Quotation Estimate for Nurse services in Israel Tel Aviv and agrees to the terms, conditions, and pricing structure outlined herein. This signature does not constitute a final contract but serves as a formal acceptance of the estimated costs and scope of Nurse care services proposed by MediCare Tel Aviv Nursing Services Ltd.</w:t>
      </w:r>
    </w:p>
    <w:p>
      <w:pPr>
        <w:pStyle w:val="BodyText"/>
      </w:pPr>
      <w:r>
        <w:rPr>
          <w:bCs/>
          <w:b/>
        </w:rPr>
        <w:t xml:space="preserve">Client Signature:</w:t>
      </w:r>
    </w:p>
    <w:p>
      <w:pPr>
        <w:pStyle w:val="BodyText"/>
      </w:pPr>
      <w:r>
        <w:t xml:space="preserve">Name / Signature / Date</w:t>
      </w:r>
    </w:p>
    <w:p>
      <w:pPr>
        <w:pStyle w:val="BodyText"/>
      </w:pPr>
      <w:r>
        <w:rPr>
          <w:bCs/>
          <w:b/>
        </w:rPr>
        <w:t xml:space="preserve">MediCare Tel Aviv Nursing Services Ltd.:</w:t>
      </w:r>
    </w:p>
    <w:p>
      <w:pPr>
        <w:pStyle w:val="BodyText"/>
      </w:pPr>
      <w:r>
        <w:t xml:space="preserve">Authorized Representative / Signature / Date</w:t>
      </w:r>
    </w:p>
    <w:p>
      <w:pPr>
        <w:pStyle w:val="BodyText"/>
      </w:pPr>
      <w:r>
        <w:t xml:space="preserve">MediCare Tel Aviv Nursing Services Ltd. | 42 Dizengoff Street, Tel Aviv-Yafo, Israel 6300000</w:t>
      </w:r>
    </w:p>
    <w:p>
      <w:pPr>
        <w:pStyle w:val="BodyText"/>
      </w:pPr>
      <w:r>
        <w:t xml:space="preserve">License: IL-CLIN-2024-88341 | VAT: 51-800-4421 | Tel: +972-3-555-0142 | Email: info@medicare-tlv.co.il</w:t>
      </w:r>
    </w:p>
    <w:p>
      <w:pPr>
        <w:pStyle w:val="BodyText"/>
      </w:pPr>
      <w:r>
        <w:t xml:space="preserve">This Quotation Estimate was generated electronically and is valid without a physical stamp. © 2025 MediCare Tel Aviv Nursing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Israel Tel Aviv</dc:title>
  <dc:creator/>
  <dc:language>en</dc:language>
  <cp:keywords/>
  <dcterms:created xsi:type="dcterms:W3CDTF">2026-10-10T04:10:56Z</dcterms:created>
  <dcterms:modified xsi:type="dcterms:W3CDTF">2026-10-10T04:10:56Z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