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China</w:t>
      </w:r>
      <w:r>
        <w:t xml:space="preserve"> </w:t>
      </w:r>
      <w:r>
        <w:t xml:space="preserve">Guangzhou</w:t>
      </w:r>
    </w:p>
    <w:bookmarkStart w:id="20" w:name="quotation-estimate"/>
    <w:p>
      <w:pPr>
        <w:pStyle w:val="Heading1"/>
      </w:pPr>
      <w:r>
        <w:t xml:space="preserve">QUOTATION ESTIMATE</w:t>
      </w:r>
    </w:p>
    <w:p>
      <w:pPr>
        <w:pStyle w:val="FirstParagraph"/>
      </w:pPr>
      <w:r>
        <w:t xml:space="preserve">Professional Occupational Therapist Services — China Guangzhou</w:t>
      </w:r>
    </w:p>
    <w:p>
      <w:pPr>
        <w:pStyle w:val="BodyText"/>
      </w:pPr>
      <w:r>
        <w:t xml:space="preserve">Guangzhou Allied Health &amp; Rehabilitation Centre Co., Ltd.</w:t>
      </w:r>
    </w:p>
    <w:p>
      <w:pPr>
        <w:pStyle w:val="BodyText"/>
      </w:pPr>
      <w:r>
        <w:t xml:space="preserve">No. 88 Tianhe Road, Tianhe District, Guangzhou, Guangdong Province, China 510630</w:t>
      </w:r>
    </w:p>
    <w:p>
      <w:pPr>
        <w:pStyle w:val="BodyText"/>
      </w:pPr>
      <w:r>
        <w:t xml:space="preserve">Tel: +86-20-8888-6600 | Email: quotes@gzalliedhealth.cn</w:t>
      </w:r>
    </w:p>
    <w:bookmarkEnd w:id="20"/>
    <w:p>
      <w:pPr>
        <w:pStyle w:val="BodyText"/>
      </w:pPr>
      <w:r>
        <w:rPr>
          <w:bCs/>
          <w:b/>
        </w:rPr>
        <w:t xml:space="preserve">Quotation Estimate No.:</w:t>
      </w:r>
      <w:r>
        <w:t xml:space="preserve"> </w:t>
      </w:r>
      <w:r>
        <w:t xml:space="preserve">QE-GZ-2025-0417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Guangzhou Municipal Rehabilitation Hospital</w:t>
      </w:r>
      <w:r>
        <w:t xml:space="preserve"> </w:t>
      </w:r>
      <w:r>
        <w:t xml:space="preserve">120 Huanshi East Road, Yuexiu District</w:t>
      </w:r>
      <w:r>
        <w:t xml:space="preserve"> </w:t>
      </w:r>
      <w:r>
        <w:t xml:space="preserve">Guangzhou, Guangdong, China 510080</w:t>
      </w:r>
      <w:r>
        <w:t xml:space="preserve"> </w:t>
      </w:r>
      <w:r>
        <w:t xml:space="preserve">Attn: Director Wang Liqun</w:t>
      </w:r>
    </w:p>
    <w:p>
      <w:pPr>
        <w:pStyle w:val="BodyText"/>
      </w:pPr>
      <w:r>
        <w:rPr>
          <w:bCs/>
          <w:b/>
        </w:rPr>
        <w:t xml:space="preserve">Prepared By:</w:t>
      </w:r>
      <w:r>
        <w:t xml:space="preserve"> </w:t>
      </w:r>
      <w:r>
        <w:t xml:space="preserve">Ms. Chen Xiaomei</w:t>
      </w:r>
      <w:r>
        <w:t xml:space="preserve"> </w:t>
      </w:r>
      <w:r>
        <w:t xml:space="preserve">Senior Service Coordinator</w:t>
      </w:r>
      <w:r>
        <w:t xml:space="preserve"> </w:t>
      </w:r>
      <w:r>
        <w:t xml:space="preserve">Guangzhou Allied Health &amp; Rehabilitation Centre</w:t>
      </w:r>
    </w:p>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by Guangzhou Allied Health &amp; Rehabilitation Centre Co., Ltd. to provide a comprehensive, itemized cost breakdown for the engagement of a qualified</w:t>
      </w:r>
      <w:r>
        <w:t xml:space="preserve"> </w:t>
      </w:r>
      <w:r>
        <w:t xml:space="preserve">Occupational Therapist</w:t>
      </w:r>
      <w:r>
        <w:t xml:space="preserve"> </w:t>
      </w:r>
      <w:r>
        <w:t xml:space="preserve">to deliver specialized rehabilitation and functional restoration services at the client facility located in</w:t>
      </w:r>
      <w:r>
        <w:t xml:space="preserve"> </w:t>
      </w:r>
      <w:r>
        <w:t xml:space="preserve">China Guangzhou</w:t>
      </w:r>
      <w:r>
        <w:t xml:space="preserve">. This document outlines the professional scope, deliverables, associated costs, and contractual terms governing the proposed engagement. The</w:t>
      </w:r>
      <w:r>
        <w:t xml:space="preserve"> </w:t>
      </w:r>
      <w:r>
        <w:t xml:space="preserve">Occupational Therapist</w:t>
      </w:r>
      <w:r>
        <w:t xml:space="preserve"> </w:t>
      </w:r>
      <w:r>
        <w:t xml:space="preserve">services described herein are designed to meet the clinical and operational requirements of the requesting institution in accordance with the standards set forth by the National Health Commission of the People's Republic of China and the Guangdong Provincial Medical Administration Bureau.</w:t>
      </w:r>
    </w:p>
    <w:bookmarkEnd w:id="21"/>
    <w:bookmarkStart w:id="22" w:name="professional-scope-of-services"/>
    <w:p>
      <w:pPr>
        <w:pStyle w:val="Heading2"/>
      </w:pPr>
      <w:r>
        <w:t xml:space="preserve">2. Professional Scope of Services</w:t>
      </w:r>
    </w:p>
    <w:p>
      <w:pPr>
        <w:pStyle w:val="FirstParagraph"/>
      </w:pPr>
      <w:r>
        <w:t xml:space="preserve">The</w:t>
      </w:r>
      <w:r>
        <w:t xml:space="preserve"> </w:t>
      </w:r>
      <w:r>
        <w:t xml:space="preserve">Occupational Therapist</w:t>
      </w:r>
      <w:r>
        <w:t xml:space="preserve"> </w:t>
      </w:r>
      <w:r>
        <w:t xml:space="preserve">engaged under this</w:t>
      </w:r>
      <w:r>
        <w:t xml:space="preserve"> </w:t>
      </w:r>
      <w:r>
        <w:t xml:space="preserve">Quotation Estimate</w:t>
      </w:r>
      <w:r>
        <w:t xml:space="preserve"> </w:t>
      </w:r>
      <w:r>
        <w:t xml:space="preserve">shall provide the following services within the</w:t>
      </w:r>
      <w:r>
        <w:t xml:space="preserve"> </w:t>
      </w:r>
      <w:r>
        <w:t xml:space="preserve">China Guangzhou</w:t>
      </w:r>
      <w:r>
        <w:t xml:space="preserve"> </w:t>
      </w:r>
      <w:r>
        <w:t xml:space="preserve">metropolitan area:</w:t>
      </w:r>
    </w:p>
    <w:p>
      <w:pPr>
        <w:numPr>
          <w:ilvl w:val="0"/>
          <w:numId w:val="1001"/>
        </w:numPr>
        <w:pStyle w:val="Compact"/>
      </w:pPr>
      <w:r>
        <w:rPr>
          <w:bCs/>
          <w:b/>
        </w:rPr>
        <w:t xml:space="preserve">Assessment and Evaluation:</w:t>
      </w:r>
      <w:r>
        <w:t xml:space="preserve"> </w:t>
      </w:r>
      <w:r>
        <w:t xml:space="preserve">Comprehensive functional assessments of patients requiring occupational therapy, including upper-limb dexterity evaluation, cognitive-motor integration testing, and daily living activity (ADL) profiling. A minimum of 40 patient assessments per month shall be conducted at the designated facility in Guangzhou.</w:t>
      </w:r>
    </w:p>
    <w:p>
      <w:pPr>
        <w:numPr>
          <w:ilvl w:val="0"/>
          <w:numId w:val="1001"/>
        </w:numPr>
        <w:pStyle w:val="Compact"/>
      </w:pPr>
      <w:r>
        <w:rPr>
          <w:bCs/>
          <w:b/>
        </w:rPr>
        <w:t xml:space="preserve">Individualized Treatment Planning:</w:t>
      </w:r>
      <w:r>
        <w:t xml:space="preserve"> </w:t>
      </w:r>
      <w:r>
        <w:t xml:space="preserve">Development and implementation of personalized occupational therapy intervention plans for each patient, targeting restoration of fine motor skills, sensory processing, and independent living capacity. All treatment plans shall be documented in both Mandarin Chinese and English for international patient records.</w:t>
      </w:r>
    </w:p>
    <w:p>
      <w:pPr>
        <w:numPr>
          <w:ilvl w:val="0"/>
          <w:numId w:val="1001"/>
        </w:numPr>
        <w:pStyle w:val="Compact"/>
      </w:pPr>
      <w:r>
        <w:rPr>
          <w:bCs/>
          <w:b/>
        </w:rPr>
        <w:t xml:space="preserve">Group Therapy Sessions:</w:t>
      </w:r>
      <w:r>
        <w:t xml:space="preserve"> </w:t>
      </w:r>
      <w:r>
        <w:t xml:space="preserve">Facilitation of weekly group occupational therapy sessions (minimum 3 sessions per week) for patients recovering from stroke, traumatic brain injury, orthopedic surgery, and pediatric developmental disorders. Each session shall accommodate 6 to 10 participants in a supervised clinical environment.</w:t>
      </w:r>
    </w:p>
    <w:p>
      <w:pPr>
        <w:numPr>
          <w:ilvl w:val="0"/>
          <w:numId w:val="1001"/>
        </w:numPr>
        <w:pStyle w:val="Compact"/>
      </w:pPr>
      <w:r>
        <w:rPr>
          <w:bCs/>
          <w:b/>
        </w:rPr>
        <w:t xml:space="preserve">Adaptive Equipment Consultation:</w:t>
      </w:r>
      <w:r>
        <w:t xml:space="preserve"> </w:t>
      </w:r>
      <w:r>
        <w:t xml:space="preserve">Provision of expert consultation regarding adaptive and assistive devices, environmental modifications, and workplace reintegration strategies for patients in the</w:t>
      </w:r>
      <w:r>
        <w:t xml:space="preserve"> </w:t>
      </w:r>
      <w:r>
        <w:t xml:space="preserve">China Guangzhou</w:t>
      </w:r>
      <w:r>
        <w:t xml:space="preserve"> </w:t>
      </w:r>
      <w:r>
        <w:t xml:space="preserve">region. This includes on-site assessments at patient residences or workplaces within a 30-kilometer radius of the primary facility.</w:t>
      </w:r>
    </w:p>
    <w:p>
      <w:pPr>
        <w:numPr>
          <w:ilvl w:val="0"/>
          <w:numId w:val="1001"/>
        </w:numPr>
        <w:pStyle w:val="Compact"/>
      </w:pPr>
      <w:r>
        <w:rPr>
          <w:bCs/>
          <w:b/>
        </w:rPr>
        <w:t xml:space="preserve">Staff Training and Supervision:</w:t>
      </w:r>
      <w:r>
        <w:t xml:space="preserve"> </w:t>
      </w:r>
      <w:r>
        <w:t xml:space="preserve">Monthly training workshops for in-house nursing and rehabilitation staff on occupational therapy principles, patient handling techniques, and evidence-based intervention protocols. The</w:t>
      </w:r>
      <w:r>
        <w:t xml:space="preserve"> </w:t>
      </w:r>
      <w:r>
        <w:t xml:space="preserve">Occupational Therapist</w:t>
      </w:r>
      <w:r>
        <w:t xml:space="preserve"> </w:t>
      </w:r>
      <w:r>
        <w:t xml:space="preserve">shall also provide weekly supervisory oversight of junior therapy assistants.</w:t>
      </w:r>
    </w:p>
    <w:p>
      <w:pPr>
        <w:numPr>
          <w:ilvl w:val="0"/>
          <w:numId w:val="1001"/>
        </w:numPr>
        <w:pStyle w:val="Compact"/>
      </w:pPr>
      <w:r>
        <w:rPr>
          <w:bCs/>
          <w:b/>
        </w:rPr>
        <w:t xml:space="preserve">Documentation and Reporting:</w:t>
      </w:r>
      <w:r>
        <w:t xml:space="preserve"> </w:t>
      </w:r>
      <w:r>
        <w:t xml:space="preserve">Preparation of detailed clinical progress reports, discharge summaries, and quarterly outcome analyses in compliance with the medical record-keeping regulations of the Guangdong Provincial Health Commission.</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(CNY)</w:t>
            </w:r>
          </w:p>
        </w:tc>
        <w:tc>
          <w:tcPr/>
          <w:p>
            <w:pPr>
              <w:pStyle w:val="Compact"/>
              <w:jc w:val="left"/>
            </w:pPr>
            <w:r>
              <w:t xml:space="preserve">Total (CNY)</w:t>
            </w:r>
          </w:p>
        </w:tc>
      </w:tr>
      <w:tr>
        <w:tc>
          <w:tcPr/>
          <w:p>
            <w:pPr>
              <w:pStyle w:val="Compact"/>
              <w:jc w:val="left"/>
            </w:pPr>
            <w:r>
              <w:t xml:space="preserve">1</w:t>
            </w:r>
          </w:p>
        </w:tc>
        <w:tc>
          <w:tcPr/>
          <w:p>
            <w:pPr>
              <w:pStyle w:val="Compact"/>
              <w:jc w:val="left"/>
            </w:pPr>
            <w:r>
              <w:t xml:space="preserve">Occupational Therapist Professional Fee (Senior OT, 10+ years experience, registered with Chinese Association of Rehabilitation Medicine)</w:t>
            </w:r>
          </w:p>
        </w:tc>
        <w:tc>
          <w:tcPr/>
          <w:p>
            <w:pPr>
              <w:pStyle w:val="Compact"/>
              <w:jc w:val="left"/>
            </w:pPr>
            <w:r>
              <w:t xml:space="preserve">12 months (full-time, 40 hrs/week)</w:t>
            </w:r>
          </w:p>
        </w:tc>
        <w:tc>
          <w:tcPr/>
          <w:p>
            <w:pPr>
              <w:pStyle w:val="Compact"/>
              <w:jc w:val="left"/>
            </w:pPr>
            <w:r>
              <w:t xml:space="preserve">28,000 / month</w:t>
            </w:r>
          </w:p>
        </w:tc>
        <w:tc>
          <w:tcPr/>
          <w:p>
            <w:pPr>
              <w:pStyle w:val="Compact"/>
              <w:jc w:val="left"/>
            </w:pPr>
            <w:r>
              <w:t xml:space="preserve">336,000.00</w:t>
            </w:r>
          </w:p>
        </w:tc>
      </w:tr>
      <w:tr>
        <w:tc>
          <w:tcPr/>
          <w:p>
            <w:pPr>
              <w:pStyle w:val="Compact"/>
              <w:jc w:val="left"/>
            </w:pPr>
            <w:r>
              <w:t xml:space="preserve">2</w:t>
            </w:r>
          </w:p>
        </w:tc>
        <w:tc>
          <w:tcPr/>
          <w:p>
            <w:pPr>
              <w:pStyle w:val="Compact"/>
              <w:jc w:val="left"/>
            </w:pPr>
            <w:r>
              <w:t xml:space="preserve">Specialized Assessment Tools and Diagnostic Software License (Fugl-Meyer, Barthel Index, Canadian Occupational Performance Measure)</w:t>
            </w:r>
          </w:p>
        </w:tc>
        <w:tc>
          <w:tcPr/>
          <w:p>
            <w:pPr>
              <w:pStyle w:val="Compact"/>
              <w:jc w:val="left"/>
            </w:pPr>
            <w:r>
              <w:t xml:space="preserve">Annual license</w:t>
            </w:r>
          </w:p>
        </w:tc>
        <w:tc>
          <w:tcPr/>
          <w:p>
            <w:pPr>
              <w:pStyle w:val="Compact"/>
              <w:jc w:val="left"/>
            </w:pPr>
            <w:r>
              <w:t xml:space="preserve">15,600 / year</w:t>
            </w:r>
          </w:p>
        </w:tc>
        <w:tc>
          <w:tcPr/>
          <w:p>
            <w:pPr>
              <w:pStyle w:val="Compact"/>
              <w:jc w:val="left"/>
            </w:pPr>
            <w:r>
              <w:t xml:space="preserve">15,600.00</w:t>
            </w:r>
          </w:p>
        </w:tc>
      </w:tr>
      <w:tr>
        <w:tc>
          <w:tcPr/>
          <w:p>
            <w:pPr>
              <w:pStyle w:val="Compact"/>
              <w:jc w:val="left"/>
            </w:pPr>
            <w:r>
              <w:t xml:space="preserve">3</w:t>
            </w:r>
          </w:p>
        </w:tc>
        <w:tc>
          <w:tcPr/>
          <w:p>
            <w:pPr>
              <w:pStyle w:val="Compact"/>
              <w:jc w:val="left"/>
            </w:pPr>
            <w:r>
              <w:t xml:space="preserve">Adaptive Equipment and Therapy Materials (therapeutic putty, pegboards, sensory integration kits, adaptive utensils, computerized upper-limb trainers)</w:t>
            </w:r>
          </w:p>
        </w:tc>
        <w:tc>
          <w:tcPr/>
          <w:p>
            <w:pPr>
              <w:pStyle w:val="Compact"/>
              <w:jc w:val="left"/>
            </w:pPr>
            <w:r>
              <w:t xml:space="preserve">One-time procurement</w:t>
            </w:r>
          </w:p>
        </w:tc>
        <w:tc>
          <w:tcPr/>
          <w:p>
            <w:pPr>
              <w:pStyle w:val="Compact"/>
              <w:jc w:val="left"/>
            </w:pPr>
            <w:r>
              <w:t xml:space="preserve">42,000 / lot</w:t>
            </w:r>
          </w:p>
        </w:tc>
        <w:tc>
          <w:tcPr/>
          <w:p>
            <w:pPr>
              <w:pStyle w:val="Compact"/>
              <w:jc w:val="left"/>
            </w:pPr>
            <w:r>
              <w:t xml:space="preserve">42,000.00</w:t>
            </w:r>
          </w:p>
        </w:tc>
      </w:tr>
      <w:tr>
        <w:tc>
          <w:tcPr/>
          <w:p>
            <w:pPr>
              <w:pStyle w:val="Compact"/>
              <w:jc w:val="left"/>
            </w:pPr>
            <w:r>
              <w:t xml:space="preserve">4</w:t>
            </w:r>
          </w:p>
        </w:tc>
        <w:tc>
          <w:tcPr/>
          <w:p>
            <w:pPr>
              <w:pStyle w:val="Compact"/>
              <w:jc w:val="left"/>
            </w:pPr>
            <w:r>
              <w:t xml:space="preserve">Group Therapy Session Materials and Consumables (art supplies, cognitive task cards, resistance bands, therapeutic clay)</w:t>
            </w:r>
          </w:p>
        </w:tc>
        <w:tc>
          <w:tcPr/>
          <w:p>
            <w:pPr>
              <w:pStyle w:val="Compact"/>
              <w:jc w:val="left"/>
            </w:pPr>
            <w:r>
              <w:t xml:space="preserve">Monthly supply (12 months)</w:t>
            </w:r>
          </w:p>
        </w:tc>
        <w:tc>
          <w:tcPr/>
          <w:p>
            <w:pPr>
              <w:pStyle w:val="Compact"/>
              <w:jc w:val="left"/>
            </w:pPr>
            <w:r>
              <w:t xml:space="preserve">3,200 / month</w:t>
            </w:r>
          </w:p>
        </w:tc>
        <w:tc>
          <w:tcPr/>
          <w:p>
            <w:pPr>
              <w:pStyle w:val="Compact"/>
              <w:jc w:val="left"/>
            </w:pPr>
            <w:r>
              <w:t xml:space="preserve">38,400.00</w:t>
            </w:r>
          </w:p>
        </w:tc>
      </w:tr>
      <w:tr>
        <w:tc>
          <w:tcPr/>
          <w:p>
            <w:pPr>
              <w:pStyle w:val="Compact"/>
              <w:jc w:val="left"/>
            </w:pPr>
            <w:r>
              <w:t xml:space="preserve">5</w:t>
            </w:r>
          </w:p>
        </w:tc>
        <w:tc>
          <w:tcPr/>
          <w:p>
            <w:pPr>
              <w:pStyle w:val="Compact"/>
              <w:jc w:val="left"/>
            </w:pPr>
            <w:r>
              <w:t xml:space="preserve">On-Site Home and Workplace Assessment Visits (within Guangzhou municipal boundaries, including transportation and per diem)</w:t>
            </w:r>
          </w:p>
        </w:tc>
        <w:tc>
          <w:tcPr/>
          <w:p>
            <w:pPr>
              <w:pStyle w:val="Compact"/>
              <w:jc w:val="left"/>
            </w:pPr>
            <w:r>
              <w:t xml:space="preserve">Up to 24 visits / year</w:t>
            </w:r>
          </w:p>
        </w:tc>
        <w:tc>
          <w:tcPr/>
          <w:p>
            <w:pPr>
              <w:pStyle w:val="Compact"/>
              <w:jc w:val="left"/>
            </w:pPr>
            <w:r>
              <w:t xml:space="preserve">1,800 / visit</w:t>
            </w:r>
          </w:p>
        </w:tc>
        <w:tc>
          <w:tcPr/>
          <w:p>
            <w:pPr>
              <w:pStyle w:val="Compact"/>
              <w:jc w:val="left"/>
            </w:pPr>
            <w:r>
              <w:t xml:space="preserve">43,200.00</w:t>
            </w:r>
          </w:p>
        </w:tc>
      </w:tr>
      <w:tr>
        <w:tc>
          <w:tcPr/>
          <w:p>
            <w:pPr>
              <w:pStyle w:val="Compact"/>
              <w:jc w:val="left"/>
            </w:pPr>
            <w:r>
              <w:t xml:space="preserve">6</w:t>
            </w:r>
          </w:p>
        </w:tc>
        <w:tc>
          <w:tcPr/>
          <w:p>
            <w:pPr>
              <w:pStyle w:val="Compact"/>
              <w:jc w:val="left"/>
            </w:pPr>
            <w:r>
              <w:t xml:space="preserve">Staff Training Workshops and Continuing Education (4 sessions per year, including materials and venue coordination)</w:t>
            </w:r>
          </w:p>
        </w:tc>
        <w:tc>
          <w:tcPr/>
          <w:p>
            <w:pPr>
              <w:pStyle w:val="Compact"/>
              <w:jc w:val="left"/>
            </w:pPr>
            <w:r>
              <w:t xml:space="preserve">4 sessions / year</w:t>
            </w:r>
          </w:p>
        </w:tc>
        <w:tc>
          <w:tcPr/>
          <w:p>
            <w:pPr>
              <w:pStyle w:val="Compact"/>
              <w:jc w:val="left"/>
            </w:pPr>
            <w:r>
              <w:t xml:space="preserve">6,500 / session</w:t>
            </w:r>
          </w:p>
        </w:tc>
        <w:tc>
          <w:tcPr/>
          <w:p>
            <w:pPr>
              <w:pStyle w:val="Compact"/>
              <w:jc w:val="left"/>
            </w:pPr>
            <w:r>
              <w:t xml:space="preserve">26,000.00</w:t>
            </w:r>
          </w:p>
        </w:tc>
      </w:tr>
      <w:tr>
        <w:tc>
          <w:tcPr/>
          <w:p>
            <w:pPr>
              <w:pStyle w:val="Compact"/>
              <w:jc w:val="left"/>
            </w:pPr>
            <w:r>
              <w:t xml:space="preserve">7</w:t>
            </w:r>
          </w:p>
        </w:tc>
        <w:tc>
          <w:tcPr/>
          <w:p>
            <w:pPr>
              <w:pStyle w:val="Compact"/>
              <w:jc w:val="left"/>
            </w:pPr>
            <w:r>
              <w:t xml:space="preserve">Clinical Documentation System Integration and Bilingual Report Generation Service</w:t>
            </w:r>
          </w:p>
        </w:tc>
        <w:tc>
          <w:tcPr/>
          <w:p>
            <w:pPr>
              <w:pStyle w:val="Compact"/>
              <w:jc w:val="left"/>
            </w:pPr>
            <w:r>
              <w:t xml:space="preserve">Annual service</w:t>
            </w:r>
          </w:p>
        </w:tc>
        <w:tc>
          <w:tcPr/>
          <w:p>
            <w:pPr>
              <w:pStyle w:val="Compact"/>
              <w:jc w:val="left"/>
            </w:pPr>
            <w:r>
              <w:t xml:space="preserve">12,000 / year</w:t>
            </w:r>
          </w:p>
        </w:tc>
        <w:tc>
          <w:tcPr/>
          <w:p>
            <w:pPr>
              <w:pStyle w:val="Compact"/>
              <w:jc w:val="left"/>
            </w:pPr>
            <w:r>
              <w:t xml:space="preserve">12,000.00</w:t>
            </w:r>
          </w:p>
        </w:tc>
      </w:tr>
      <w:tr>
        <w:tc>
          <w:tcPr/>
          <w:p>
            <w:pPr>
              <w:pStyle w:val="Compact"/>
              <w:jc w:val="left"/>
            </w:pPr>
            <w:r>
              <w:t xml:space="preserve">8</w:t>
            </w:r>
          </w:p>
        </w:tc>
        <w:tc>
          <w:tcPr/>
          <w:p>
            <w:pPr>
              <w:pStyle w:val="Compact"/>
              <w:jc w:val="left"/>
            </w:pPr>
            <w:r>
              <w:t xml:space="preserve">Professional Liability Insurance and Occupational Health Coverage for the Occupational Therapist</w:t>
            </w:r>
          </w:p>
        </w:tc>
        <w:tc>
          <w:tcPr/>
          <w:p>
            <w:pPr>
              <w:pStyle w:val="Compact"/>
              <w:jc w:val="left"/>
            </w:pPr>
            <w:r>
              <w:t xml:space="preserve">12 months</w:t>
            </w:r>
          </w:p>
        </w:tc>
        <w:tc>
          <w:tcPr/>
          <w:p>
            <w:pPr>
              <w:pStyle w:val="Compact"/>
              <w:jc w:val="left"/>
            </w:pPr>
            <w:r>
              <w:t xml:space="preserve">8,400 / year</w:t>
            </w:r>
          </w:p>
        </w:tc>
        <w:tc>
          <w:tcPr/>
          <w:p>
            <w:pPr>
              <w:pStyle w:val="Compact"/>
              <w:jc w:val="left"/>
            </w:pPr>
            <w:r>
              <w:t xml:space="preserve">8,400.00</w:t>
            </w:r>
          </w:p>
        </w:tc>
      </w:tr>
      <w:tr>
        <w:tc>
          <w:tcPr/>
          <w:p>
            <w:pPr>
              <w:pStyle w:val="Compact"/>
              <w:jc w:val="left"/>
            </w:pPr>
            <w:r>
              <w:t xml:space="preserve">9</w:t>
            </w:r>
          </w:p>
        </w:tc>
        <w:tc>
          <w:tcPr/>
          <w:p>
            <w:pPr>
              <w:pStyle w:val="Compact"/>
              <w:jc w:val="left"/>
            </w:pPr>
            <w:r>
              <w:t xml:space="preserve">Administrative and Coordination Fee (scheduling, compliance monitoring, regulatory liaison with Guangzhou Health Bureau)</w:t>
            </w:r>
          </w:p>
        </w:tc>
        <w:tc>
          <w:tcPr/>
          <w:p>
            <w:pPr>
              <w:pStyle w:val="Compact"/>
              <w:jc w:val="left"/>
            </w:pPr>
            <w:r>
              <w:t xml:space="preserve">12 months</w:t>
            </w:r>
          </w:p>
        </w:tc>
        <w:tc>
          <w:tcPr/>
          <w:p>
            <w:pPr>
              <w:pStyle w:val="Compact"/>
              <w:jc w:val="left"/>
            </w:pPr>
            <w:r>
              <w:t xml:space="preserve">5,000 / month</w:t>
            </w:r>
          </w:p>
        </w:tc>
        <w:tc>
          <w:tcPr/>
          <w:p>
            <w:pPr>
              <w:pStyle w:val="Compact"/>
              <w:jc w:val="left"/>
            </w:pPr>
            <w:r>
              <w:t xml:space="preserve">60,000.00</w:t>
            </w:r>
          </w:p>
        </w:tc>
      </w:tr>
      <w:tr>
        <w:tc>
          <w:tcPr>
            <w:gridSpan w:val="4"/>
          </w:tcPr>
          <w:p>
            <w:pPr>
              <w:pStyle w:val="Compact"/>
              <w:jc w:val="right"/>
            </w:pPr>
            <w:r>
              <w:t xml:space="preserve">SUBTOTAL (CNY)</w:t>
            </w:r>
          </w:p>
        </w:tc>
        <w:tc>
          <w:tcPr/>
          <w:p>
            <w:pPr>
              <w:pStyle w:val="Compact"/>
              <w:jc w:val="left"/>
            </w:pPr>
            <w:r>
              <w:t xml:space="preserve">581,600.00</w:t>
            </w:r>
          </w:p>
        </w:tc>
      </w:tr>
      <w:tr>
        <w:tc>
          <w:tcPr>
            <w:gridSpan w:val="4"/>
          </w:tcPr>
          <w:p>
            <w:pPr>
              <w:pStyle w:val="Compact"/>
              <w:jc w:val="right"/>
            </w:pPr>
            <w:r>
              <w:t xml:space="preserve">Applicable VAT (6% Service Tax, PRC)</w:t>
            </w:r>
          </w:p>
        </w:tc>
        <w:tc>
          <w:tcPr/>
          <w:p>
            <w:pPr>
              <w:pStyle w:val="Compact"/>
              <w:jc w:val="left"/>
            </w:pPr>
            <w:r>
              <w:t xml:space="preserve">34,896.00</w:t>
            </w:r>
          </w:p>
        </w:tc>
      </w:tr>
      <w:tr>
        <w:tc>
          <w:tcPr>
            <w:gridSpan w:val="4"/>
          </w:tcPr>
          <w:p>
            <w:pPr>
              <w:pStyle w:val="Compact"/>
              <w:jc w:val="right"/>
            </w:pPr>
            <w:r>
              <w:t xml:space="preserve">GRAND TOTAL (CNY)</w:t>
            </w:r>
          </w:p>
        </w:tc>
        <w:tc>
          <w:tcPr/>
          <w:p>
            <w:pPr>
              <w:pStyle w:val="Compact"/>
              <w:jc w:val="left"/>
            </w:pPr>
            <w:r>
              <w:t xml:space="preserve">616,496.00</w:t>
            </w:r>
          </w:p>
        </w:tc>
      </w:tr>
    </w:tbl>
    <w:p>
      <w:pPr>
        <w:pStyle w:val="BodyText"/>
      </w:pPr>
      <w:r>
        <w:rPr>
          <w:bCs/>
          <w:b/>
        </w:rPr>
        <w:t xml:space="preserve">Note:</w:t>
      </w:r>
      <w:r>
        <w:t xml:space="preserve"> </w:t>
      </w:r>
      <w:r>
        <w:t xml:space="preserve">All monetary values in this</w:t>
      </w:r>
      <w:r>
        <w:t xml:space="preserve"> </w:t>
      </w:r>
      <w:r>
        <w:t xml:space="preserve">Quotation Estimate</w:t>
      </w:r>
      <w:r>
        <w:t xml:space="preserve"> </w:t>
      </w:r>
      <w:r>
        <w:t xml:space="preserve">are denominated in Chinese Yuan (CNY / RMB). The total amount of CNY 616,496.00 (Six Hundred Sixteen Thousand Four Hundred Ninety-Six Yuan Only) is inclusive of 6% Value Added Tax as mandated by the State Taxation Administration of the People's Republic of China. No additional charges shall apply unless expressly agreed upon in a written amendment to this agreement.</w:t>
      </w:r>
    </w:p>
    <w:bookmarkEnd w:id="23"/>
    <w:bookmarkStart w:id="24" w:name="payment-terms-and-schedule"/>
    <w:p>
      <w:pPr>
        <w:pStyle w:val="Heading2"/>
      </w:pPr>
      <w:r>
        <w:t xml:space="preserve">4. Payment Terms and Schedule</w:t>
      </w:r>
    </w:p>
    <w:p>
      <w:pPr>
        <w:numPr>
          <w:ilvl w:val="0"/>
          <w:numId w:val="1002"/>
        </w:numPr>
        <w:pStyle w:val="Compact"/>
      </w:pPr>
      <w:r>
        <w:rPr>
          <w:bCs/>
          <w:b/>
        </w:rPr>
        <w:t xml:space="preserve">Advance Payment:</w:t>
      </w:r>
      <w:r>
        <w:t xml:space="preserve"> </w:t>
      </w:r>
      <w:r>
        <w:t xml:space="preserve">30% of the total contract value (CNY 184,948.80) shall be remitted within 10 business days of mutual signature of this</w:t>
      </w:r>
      <w:r>
        <w:t xml:space="preserve"> </w:t>
      </w:r>
      <w:r>
        <w:t xml:space="preserve">Quotation Estimate</w:t>
      </w:r>
      <w:r>
        <w:t xml:space="preserve"> </w:t>
      </w:r>
      <w:r>
        <w:t xml:space="preserve">and the subsequent service agreement.</w:t>
      </w:r>
    </w:p>
    <w:p>
      <w:pPr>
        <w:numPr>
          <w:ilvl w:val="0"/>
          <w:numId w:val="1002"/>
        </w:numPr>
        <w:pStyle w:val="Compact"/>
      </w:pPr>
      <w:r>
        <w:rPr>
          <w:bCs/>
          <w:b/>
        </w:rPr>
        <w:t xml:space="preserve">Quarterly Installments:</w:t>
      </w:r>
      <w:r>
        <w:t xml:space="preserve"> </w:t>
      </w:r>
      <w:r>
        <w:t xml:space="preserve">The remaining 70% shall be paid in four equal quarterly installments of CNY 107,886.80, due on the 5th business day of January, April, July, and October respectively.</w:t>
      </w:r>
    </w:p>
    <w:p>
      <w:pPr>
        <w:numPr>
          <w:ilvl w:val="0"/>
          <w:numId w:val="1002"/>
        </w:numPr>
        <w:pStyle w:val="Compact"/>
      </w:pPr>
      <w:r>
        <w:rPr>
          <w:bCs/>
          <w:b/>
        </w:rPr>
        <w:t xml:space="preserve">Payment Method:</w:t>
      </w:r>
      <w:r>
        <w:t xml:space="preserve"> </w:t>
      </w:r>
      <w:r>
        <w:t xml:space="preserve">All payments shall be made via bank transfer to the designated corporate account of Guangzhou Allied Health &amp; Rehabilitation Centre Co., Ltd. at China Merchants Bank, Guangzhou Tianhe Branch. Invoice (fapiao) shall be issued within 5 business days of each payment receipt.</w:t>
      </w:r>
    </w:p>
    <w:p>
      <w:pPr>
        <w:numPr>
          <w:ilvl w:val="0"/>
          <w:numId w:val="1002"/>
        </w:numPr>
        <w:pStyle w:val="Compact"/>
      </w:pPr>
      <w:r>
        <w:rPr>
          <w:bCs/>
          <w:b/>
        </w:rPr>
        <w:t xml:space="preserve">Late Payment:</w:t>
      </w:r>
      <w:r>
        <w:t xml:space="preserve"> </w:t>
      </w:r>
      <w:r>
        <w:t xml:space="preserve">Overdue amounts shall accrue interest at a rate of 0.05% per calendar day in accordance with PRC commercial contract law.</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a period of 30 calendar days from the date of issue. Beyond this period, pricing and availability of the</w:t>
      </w:r>
      <w:r>
        <w:t xml:space="preserve"> </w:t>
      </w:r>
      <w:r>
        <w:t xml:space="preserve">Occupational Therapist</w:t>
      </w:r>
      <w:r>
        <w:t xml:space="preserve"> </w:t>
      </w:r>
      <w:r>
        <w:t xml:space="preserve">are subject to reconfirmation.</w:t>
      </w:r>
    </w:p>
    <w:p>
      <w:pPr>
        <w:numPr>
          <w:ilvl w:val="0"/>
          <w:numId w:val="1003"/>
        </w:numPr>
        <w:pStyle w:val="Compact"/>
      </w:pPr>
      <w:r>
        <w:t xml:space="preserve">The</w:t>
      </w:r>
      <w:r>
        <w:t xml:space="preserve"> </w:t>
      </w:r>
      <w:r>
        <w:t xml:space="preserve">Occupational Therapist</w:t>
      </w:r>
      <w:r>
        <w:t xml:space="preserve"> </w:t>
      </w:r>
      <w:r>
        <w:t xml:space="preserve">engaged under this arrangement shall hold a valid practicing license issued by the Guangdong Provincial Health Commission and shall maintain professional registration with the Chinese Association of Rehabilitation Medicine throughout the contract term.</w:t>
      </w:r>
    </w:p>
    <w:p>
      <w:pPr>
        <w:numPr>
          <w:ilvl w:val="0"/>
          <w:numId w:val="1003"/>
        </w:numPr>
        <w:pStyle w:val="Compact"/>
      </w:pPr>
      <w:r>
        <w:t xml:space="preserve">All services shall be rendered in compliance with the</w:t>
      </w:r>
      <w:r>
        <w:t xml:space="preserve"> </w:t>
      </w:r>
      <w:r>
        <w:rPr>
          <w:iCs/>
          <w:i/>
        </w:rPr>
        <w:t xml:space="preserve">Regulations on the Administration of Medical Institutions</w:t>
      </w:r>
      <w:r>
        <w:t xml:space="preserve"> </w:t>
      </w:r>
      <w:r>
        <w:t xml:space="preserve">(PRC) and the</w:t>
      </w:r>
      <w:r>
        <w:t xml:space="preserve"> </w:t>
      </w:r>
      <w:r>
        <w:rPr>
          <w:iCs/>
          <w:i/>
        </w:rPr>
        <w:t xml:space="preserve">Guangdong Province Occupational Therapy Practice Standards (2024 Revision)</w:t>
      </w:r>
      <w:r>
        <w:t xml:space="preserve">.</w:t>
      </w:r>
    </w:p>
    <w:p>
      <w:pPr>
        <w:numPr>
          <w:ilvl w:val="0"/>
          <w:numId w:val="1003"/>
        </w:numPr>
        <w:pStyle w:val="Compact"/>
      </w:pPr>
      <w:r>
        <w:t xml:space="preserve">Confidentiality of all patient records and clinical data is governed by the</w:t>
      </w:r>
      <w:r>
        <w:t xml:space="preserve"> </w:t>
      </w:r>
      <w:r>
        <w:rPr>
          <w:iCs/>
          <w:i/>
        </w:rPr>
        <w:t xml:space="preserve">Personal Information Protection Law of the PRC</w:t>
      </w:r>
      <w:r>
        <w:t xml:space="preserve"> </w:t>
      </w:r>
      <w:r>
        <w:t xml:space="preserve">(effective 1 November 2021). No patient information shall be disclosed to third parties without written consent.</w:t>
      </w:r>
    </w:p>
    <w:p>
      <w:pPr>
        <w:numPr>
          <w:ilvl w:val="0"/>
          <w:numId w:val="1003"/>
        </w:numPr>
        <w:pStyle w:val="Compact"/>
      </w:pPr>
      <w:r>
        <w:t xml:space="preserve">Either party may terminate the engagement with 60 days' written notice. In the event of early termination, a pro-rata refund of unearned fees shall be processed within 30 days.</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both parties execute the formal Service Agreement. All terms herein are subject to final legal review by the respective parties' counsel in</w:t>
      </w:r>
      <w:r>
        <w:t xml:space="preserve"> </w:t>
      </w:r>
      <w:r>
        <w:t xml:space="preserve">China Guangzhou</w:t>
      </w:r>
      <w:r>
        <w:t xml:space="preserve">.</w:t>
      </w:r>
    </w:p>
    <w:p>
      <w:pPr>
        <w:numPr>
          <w:ilvl w:val="0"/>
          <w:numId w:val="1003"/>
        </w:numPr>
        <w:pStyle w:val="Compact"/>
      </w:pPr>
      <w:r>
        <w:t xml:space="preserve">Disputes arising from this engagement shall be resolved through arbitration at the South China International Economic and Trade Arbitration Commission (SCIAEC) in Guangzhou, in accordance with its then-current arbitration rules.</w:t>
      </w:r>
    </w:p>
    <w:bookmarkEnd w:id="25"/>
    <w:bookmarkStart w:id="26" w:name="acceptance-and-authorization"/>
    <w:p>
      <w:pPr>
        <w:pStyle w:val="Heading2"/>
      </w:pPr>
      <w:r>
        <w:t xml:space="preserve">6. Acceptance and Authorization</w:t>
      </w:r>
    </w:p>
    <w:p>
      <w:pPr>
        <w:pStyle w:val="FirstParagraph"/>
      </w:pPr>
      <w:r>
        <w:t xml:space="preserve">By signing below, the parties acknowledge that they have read, understood, and agree to the terms set forth in this</w:t>
      </w:r>
      <w:r>
        <w:t xml:space="preserve"> </w:t>
      </w:r>
      <w:r>
        <w:t xml:space="preserve">Quotation Estimate</w:t>
      </w:r>
      <w:r>
        <w:t xml:space="preserve"> </w:t>
      </w:r>
      <w:r>
        <w:t xml:space="preserve">for</w:t>
      </w:r>
      <w:r>
        <w:t xml:space="preserve"> </w:t>
      </w:r>
      <w:r>
        <w:t xml:space="preserve">Occupational Therapist</w:t>
      </w:r>
      <w:r>
        <w:t xml:space="preserve"> </w:t>
      </w:r>
      <w:r>
        <w:t xml:space="preserve">services in</w:t>
      </w:r>
      <w:r>
        <w:t xml:space="preserve"> </w:t>
      </w:r>
      <w:r>
        <w:t xml:space="preserve">China Guangzhou</w:t>
      </w:r>
      <w:r>
        <w:t xml:space="preserve">. This document shall serve as the basis for the execution of the definitive Service Agreement.</w:t>
      </w:r>
    </w:p>
    <w:p>
      <w:pPr>
        <w:pStyle w:val="BodyText"/>
      </w:pPr>
      <w:r>
        <w:rPr>
          <w:bCs/>
          <w:b/>
        </w:rPr>
        <w:t xml:space="preserve">For: Guangzhou Allied Health &amp; Rehabilitation Centre Co., Ltd.</w:t>
      </w:r>
      <w:r>
        <w:br/>
      </w:r>
      <w:r>
        <w:t xml:space="preserve">Name: Chen Xiaomei</w:t>
      </w:r>
      <w:r>
        <w:br/>
      </w:r>
      <w:r>
        <w:t xml:space="preserve">Title: Senior Service Coordinator</w:t>
      </w:r>
      <w:r>
        <w:br/>
      </w:r>
      <w:r>
        <w:t xml:space="preserve">Date: ______________________</w:t>
      </w:r>
    </w:p>
    <w:p>
      <w:pPr>
        <w:pStyle w:val="BodyText"/>
      </w:pPr>
      <w:r>
        <w:rPr>
          <w:bCs/>
          <w:b/>
        </w:rPr>
        <w:t xml:space="preserve">For: Guangzhou Municipal Rehabilitation Hospital</w:t>
      </w:r>
      <w:r>
        <w:br/>
      </w:r>
      <w:r>
        <w:t xml:space="preserve">Name: Wang Liqun</w:t>
      </w:r>
      <w:r>
        <w:br/>
      </w:r>
      <w:r>
        <w:t xml:space="preserve">Title: Director</w:t>
      </w:r>
      <w:r>
        <w:br/>
      </w:r>
      <w:r>
        <w:t xml:space="preserve">Date: ______________________</w:t>
      </w:r>
    </w:p>
    <w:p>
      <w:pPr>
        <w:pStyle w:val="BodyText"/>
      </w:pPr>
      <w:r>
        <w:t xml:space="preserve">Quotation Estimate No. QE-GZ-2025-0417 | Page 1 of 1</w:t>
      </w:r>
    </w:p>
    <w:p>
      <w:pPr>
        <w:pStyle w:val="BodyText"/>
      </w:pPr>
      <w:r>
        <w:t xml:space="preserve">Guangzhou Allied Health &amp; Rehabilitation Centre Co., Ltd. | Unified Social Credit Code: 91440101MA5CXXXXXX</w:t>
      </w:r>
    </w:p>
    <w:p>
      <w:pPr>
        <w:pStyle w:val="BodyText"/>
      </w:pPr>
      <w:r>
        <w:t xml:space="preserve">This document is generated electronically and is valid without a physical seal. For verification, contact the issuing office at +86-20-8888-6600.</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China Guangzhou</dc:title>
  <dc:creator/>
  <dc:language>en</dc:language>
  <cp:keywords/>
  <dcterms:created xsi:type="dcterms:W3CDTF">2026-10-10T09:15:27Z</dcterms:created>
  <dcterms:modified xsi:type="dcterms:W3CDTF">2026-10-10T09:15:27Z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