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Occupational Therapist Professional Services — Indonesia Jakarta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QE-OT-JKT-2025-0472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Service Location</w:t>
            </w:r>
          </w:p>
        </w:tc>
        <w:tc>
          <w:tcPr/>
          <w:p>
            <w:pPr>
              <w:pStyle w:val="Compact"/>
              <w:jc w:val="left"/>
            </w:pPr>
            <w:r>
              <w:t xml:space="preserve">Indonesia Jakarta — South Jakarta, Kebayoran Baru District</w:t>
            </w:r>
          </w:p>
        </w:tc>
      </w:tr>
      <w:tr>
        <w:tc>
          <w:tcPr/>
          <w:p>
            <w:pPr>
              <w:pStyle w:val="Compact"/>
              <w:jc w:val="left"/>
            </w:pPr>
            <w:r>
              <w:t xml:space="preserve">Prepared By</w:t>
            </w:r>
          </w:p>
        </w:tc>
        <w:tc>
          <w:tcPr/>
          <w:p>
            <w:pPr>
              <w:pStyle w:val="Compact"/>
              <w:jc w:val="left"/>
            </w:pPr>
            <w:r>
              <w:t xml:space="preserve">PT Sehat Terapi Indonesia — Occupational Therapist Division</w:t>
            </w:r>
          </w:p>
        </w:tc>
      </w:tr>
      <w:tr>
        <w:tc>
          <w:tcPr/>
          <w:p>
            <w:pPr>
              <w:pStyle w:val="Compact"/>
              <w:jc w:val="left"/>
            </w:pPr>
            <w:r>
              <w:t xml:space="preserve">Prepared For</w:t>
            </w:r>
          </w:p>
        </w:tc>
        <w:tc>
          <w:tcPr/>
          <w:p>
            <w:pPr>
              <w:pStyle w:val="Compact"/>
              <w:jc w:val="left"/>
            </w:pPr>
            <w:r>
              <w:t xml:space="preserve">Client / Receiving Party (Name to be confirmed upon acceptance)</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PT Sehat Terapi Indonesia to provide a comprehensive and transparent financial projection for the engagement of a licensed</w:t>
      </w:r>
      <w:r>
        <w:t xml:space="preserve"> </w:t>
      </w:r>
      <w:r>
        <w:t xml:space="preserve">Occupational Therapist</w:t>
      </w:r>
      <w:r>
        <w:t xml:space="preserve"> </w:t>
      </w:r>
      <w:r>
        <w:t xml:space="preserve">to deliver specialized therapeutic interventions within the</w:t>
      </w:r>
      <w:r>
        <w:t xml:space="preserve"> </w:t>
      </w:r>
      <w:r>
        <w:t xml:space="preserve">Indonesia Jakarta</w:t>
      </w:r>
      <w:r>
        <w:t xml:space="preserve"> </w:t>
      </w:r>
      <w:r>
        <w:t xml:space="preserve">metropolitan area. The purpose of this Quotation Estimate is to outline the scope of services, associated costs, payment schedules, and contractual terms governing the provision of Occupational Therapist services. All pricing presented herein reflects current market rates applicable to the Indonesia Jakarta region as of the date of issue and is subject to the validity period stated above.</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engaged under this Quotation Estimate will provide a full spectrum of therapeutic services tailored to the client's specific clinical needs. The scope encompasses the following deliverables to be performed in Indonesia Jakarta:</w:t>
      </w:r>
    </w:p>
    <w:p>
      <w:pPr>
        <w:numPr>
          <w:ilvl w:val="0"/>
          <w:numId w:val="1001"/>
        </w:numPr>
        <w:pStyle w:val="Compact"/>
      </w:pPr>
      <w:r>
        <w:rPr>
          <w:bCs/>
          <w:b/>
        </w:rPr>
        <w:t xml:space="preserve">Initial Comprehensive Assessment:</w:t>
      </w:r>
      <w:r>
        <w:t xml:space="preserve"> </w:t>
      </w:r>
      <w:r>
        <w:t xml:space="preserve">A thorough evaluation of the client's functional abilities, daily living skills, cognitive status, and environmental barriers. This assessment will be conducted by a board-certified Occupational Therapist registered with the Indonesian Association of Occupational Therapists (IAOT) and will take place at the client's designated facility in Indonesia Jakarta.</w:t>
      </w:r>
    </w:p>
    <w:p>
      <w:pPr>
        <w:numPr>
          <w:ilvl w:val="0"/>
          <w:numId w:val="1001"/>
        </w:numPr>
        <w:pStyle w:val="Compact"/>
      </w:pPr>
      <w:r>
        <w:rPr>
          <w:bCs/>
          <w:b/>
        </w:rPr>
        <w:t xml:space="preserve">Individualized Treatment Planning:</w:t>
      </w:r>
      <w:r>
        <w:t xml:space="preserve"> </w:t>
      </w:r>
      <w:r>
        <w:t xml:space="preserve">Development of a personalized therapeutic program targeting upper limb rehabilitation, fine motor skill restoration, sensory integration, adaptive equipment training, and community reintegration strategies specific to the Indonesia Jakarta urban environment.</w:t>
      </w:r>
    </w:p>
    <w:p>
      <w:pPr>
        <w:numPr>
          <w:ilvl w:val="0"/>
          <w:numId w:val="1001"/>
        </w:numPr>
        <w:pStyle w:val="Compact"/>
      </w:pPr>
      <w:r>
        <w:rPr>
          <w:bCs/>
          <w:b/>
        </w:rPr>
        <w:t xml:space="preserve">Weekly Therapeutic Sessions:</w:t>
      </w:r>
      <w:r>
        <w:t xml:space="preserve"> </w:t>
      </w:r>
      <w:r>
        <w:t xml:space="preserve">A minimum of four (4) one-hour Occupational Therapist sessions per week, conducted at the client's residence or approved clinic in Indonesia Jakarta, over a period of twelve (12) weeks.</w:t>
      </w:r>
    </w:p>
    <w:p>
      <w:pPr>
        <w:numPr>
          <w:ilvl w:val="0"/>
          <w:numId w:val="1001"/>
        </w:numPr>
        <w:pStyle w:val="Compact"/>
      </w:pPr>
      <w:r>
        <w:rPr>
          <w:bCs/>
          <w:b/>
        </w:rPr>
        <w:t xml:space="preserve">Family and Caregiver Education:</w:t>
      </w:r>
      <w:r>
        <w:t xml:space="preserve"> </w:t>
      </w:r>
      <w:r>
        <w:t xml:space="preserve">Two (2) dedicated sessions per month to train family members and caregivers on home-based exercises, environmental modifications, and ongoing support strategies.</w:t>
      </w:r>
    </w:p>
    <w:p>
      <w:pPr>
        <w:numPr>
          <w:ilvl w:val="0"/>
          <w:numId w:val="1001"/>
        </w:numPr>
        <w:pStyle w:val="Compact"/>
      </w:pPr>
      <w:r>
        <w:rPr>
          <w:bCs/>
          <w:b/>
        </w:rPr>
        <w:t xml:space="preserve">Progress Reporting:</w:t>
      </w:r>
      <w:r>
        <w:t xml:space="preserve"> </w:t>
      </w:r>
      <w:r>
        <w:t xml:space="preserve">Monthly written progress reports submitted to the referring physician and the client, documenting functional gains, treatment adjustments, and recommendations for the Indonesia Jakarta-based care team.</w:t>
      </w:r>
    </w:p>
    <w:p>
      <w:pPr>
        <w:numPr>
          <w:ilvl w:val="0"/>
          <w:numId w:val="1001"/>
        </w:numPr>
        <w:pStyle w:val="Compact"/>
      </w:pPr>
      <w:r>
        <w:rPr>
          <w:bCs/>
          <w:b/>
        </w:rPr>
        <w:t xml:space="preserve">Adaptive Equipment Consultation:</w:t>
      </w:r>
      <w:r>
        <w:t xml:space="preserve"> </w:t>
      </w:r>
      <w:r>
        <w:t xml:space="preserve">One (1) on-site consultation in Indonesia Jakarta for assessment, recommendation, and fitting of assistive devices and adaptive tools.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Initial Comprehensive Occupational Therapist Assessment (Indonesia Jakarta)</w:t>
            </w:r>
          </w:p>
        </w:tc>
        <w:tc>
          <w:tcPr/>
          <w:p>
            <w:pPr>
              <w:pStyle w:val="Compact"/>
              <w:jc w:val="left"/>
            </w:pPr>
            <w:r>
              <w:t xml:space="preserve">1 session</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Individualized Treatment Plan Development</w:t>
            </w:r>
          </w:p>
        </w:tc>
        <w:tc>
          <w:tcPr/>
          <w:p>
            <w:pPr>
              <w:pStyle w:val="Compact"/>
              <w:jc w:val="left"/>
            </w:pPr>
            <w:r>
              <w:t xml:space="preserve">1 deliverable</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Weekly Occupational Therapist Sessions (4 hrs/week × 12 weeks)</w:t>
            </w:r>
          </w:p>
        </w:tc>
        <w:tc>
          <w:tcPr/>
          <w:p>
            <w:pPr>
              <w:pStyle w:val="Compact"/>
              <w:jc w:val="left"/>
            </w:pPr>
            <w:r>
              <w:t xml:space="preserve">48 sessions</w:t>
            </w:r>
          </w:p>
        </w:tc>
        <w:tc>
          <w:tcPr/>
          <w:p>
            <w:pPr>
              <w:pStyle w:val="Compact"/>
              <w:jc w:val="left"/>
            </w:pPr>
            <w:r>
              <w:t xml:space="preserve">950,000</w:t>
            </w:r>
          </w:p>
        </w:tc>
        <w:tc>
          <w:tcPr/>
          <w:p>
            <w:pPr>
              <w:pStyle w:val="Compact"/>
              <w:jc w:val="left"/>
            </w:pPr>
            <w:r>
              <w:t xml:space="preserve">45,600,000</w:t>
            </w:r>
          </w:p>
        </w:tc>
      </w:tr>
      <w:tr>
        <w:tc>
          <w:tcPr/>
          <w:p>
            <w:pPr>
              <w:pStyle w:val="Compact"/>
              <w:jc w:val="left"/>
            </w:pPr>
            <w:r>
              <w:t xml:space="preserve">04</w:t>
            </w:r>
          </w:p>
        </w:tc>
        <w:tc>
          <w:tcPr/>
          <w:p>
            <w:pPr>
              <w:pStyle w:val="Compact"/>
              <w:jc w:val="left"/>
            </w:pPr>
            <w:r>
              <w:t xml:space="preserve">Family and Caregiver Education Sessions</w:t>
            </w:r>
          </w:p>
        </w:tc>
        <w:tc>
          <w:tcPr/>
          <w:p>
            <w:pPr>
              <w:pStyle w:val="Compact"/>
              <w:jc w:val="left"/>
            </w:pPr>
            <w:r>
              <w:t xml:space="preserve">24 sessions</w:t>
            </w:r>
          </w:p>
        </w:tc>
        <w:tc>
          <w:tcPr/>
          <w:p>
            <w:pPr>
              <w:pStyle w:val="Compact"/>
              <w:jc w:val="left"/>
            </w:pPr>
            <w:r>
              <w:t xml:space="preserve">600,000</w:t>
            </w:r>
          </w:p>
        </w:tc>
        <w:tc>
          <w:tcPr/>
          <w:p>
            <w:pPr>
              <w:pStyle w:val="Compact"/>
              <w:jc w:val="left"/>
            </w:pPr>
            <w:r>
              <w:t xml:space="preserve">14,400,000</w:t>
            </w:r>
          </w:p>
        </w:tc>
      </w:tr>
      <w:tr>
        <w:tc>
          <w:tcPr/>
          <w:p>
            <w:pPr>
              <w:pStyle w:val="Compact"/>
              <w:jc w:val="left"/>
            </w:pPr>
            <w:r>
              <w:t xml:space="preserve">05</w:t>
            </w:r>
          </w:p>
        </w:tc>
        <w:tc>
          <w:tcPr/>
          <w:p>
            <w:pPr>
              <w:pStyle w:val="Compact"/>
              <w:jc w:val="left"/>
            </w:pPr>
            <w:r>
              <w:t xml:space="preserve">Monthly Progress Reports (12 weeks = 3 reports)</w:t>
            </w:r>
          </w:p>
        </w:tc>
        <w:tc>
          <w:tcPr/>
          <w:p>
            <w:pPr>
              <w:pStyle w:val="Compact"/>
              <w:jc w:val="left"/>
            </w:pPr>
            <w:r>
              <w:t xml:space="preserve">3 reports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Adaptive Equipment Consultation and Fitting (Indonesia Jakarta)</w:t>
            </w:r>
          </w:p>
        </w:tc>
        <w:tc>
          <w:tcPr/>
          <w:p>
            <w:pPr>
              <w:pStyle w:val="Compact"/>
              <w:jc w:val="left"/>
            </w:pPr>
            <w:r>
              <w:t xml:space="preserve">1 session</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Travel and Logistics within Indonesia Jakarta (South, Central, North Jakarta)</w:t>
            </w:r>
          </w:p>
        </w:tc>
        <w:tc>
          <w:tcPr/>
          <w:p>
            <w:pPr>
              <w:pStyle w:val="Compact"/>
              <w:jc w:val="left"/>
            </w:pPr>
            <w:r>
              <w:t xml:space="preserve">12 weeks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08</w:t>
            </w:r>
          </w:p>
        </w:tc>
        <w:tc>
          <w:tcPr/>
          <w:p>
            <w:pPr>
              <w:pStyle w:val="Compact"/>
              <w:jc w:val="left"/>
            </w:pPr>
            <w:r>
              <w:t xml:space="preserve">Administrative and Documentation Fees</w:t>
            </w:r>
          </w:p>
        </w:tc>
        <w:tc>
          <w:tcPr/>
          <w:p>
            <w:pPr>
              <w:pStyle w:val="Compact"/>
              <w:jc w:val="left"/>
            </w:pPr>
            <w:r>
              <w:t xml:space="preserve">1 package</w:t>
            </w:r>
          </w:p>
        </w:tc>
        <w:tc>
          <w:tcPr/>
          <w:p>
            <w:pPr>
              <w:pStyle w:val="Compact"/>
              <w:jc w:val="left"/>
            </w:pPr>
            <w:r>
              <w:t xml:space="preserve">750,000</w:t>
            </w:r>
          </w:p>
        </w:tc>
        <w:tc>
          <w:tcPr/>
          <w:p>
            <w:pPr>
              <w:pStyle w:val="Compact"/>
              <w:jc w:val="left"/>
            </w:pPr>
            <w:r>
              <w:t xml:space="preserve">750,000</w:t>
            </w:r>
          </w:p>
        </w:tc>
      </w:tr>
      <w:tr>
        <w:tc>
          <w:tcPr>
            <w:gridSpan w:val="4"/>
          </w:tcPr>
          <w:p>
            <w:pPr>
              <w:pStyle w:val="Compact"/>
              <w:jc w:val="left"/>
            </w:pPr>
            <w:r>
              <w:t xml:space="preserve">TOTAL ESTIMATED COST (Before VAT 11%)</w:t>
            </w:r>
          </w:p>
        </w:tc>
        <w:tc>
          <w:tcPr/>
          <w:p>
            <w:pPr>
              <w:pStyle w:val="Compact"/>
              <w:jc w:val="left"/>
            </w:pPr>
            <w:r>
              <w:t xml:space="preserve">70,700,000</w:t>
            </w:r>
          </w:p>
        </w:tc>
      </w:tr>
      <w:tr>
        <w:tc>
          <w:tcPr>
            <w:gridSpan w:val="4"/>
          </w:tcPr>
          <w:p>
            <w:pPr>
              <w:pStyle w:val="Compact"/>
              <w:jc w:val="left"/>
            </w:pPr>
            <w:r>
              <w:t xml:space="preserve">VAT (11% — Indonesia Standard Rate)</w:t>
            </w:r>
          </w:p>
        </w:tc>
        <w:tc>
          <w:tcPr/>
          <w:p>
            <w:pPr>
              <w:pStyle w:val="Compact"/>
              <w:jc w:val="left"/>
            </w:pPr>
            <w:r>
              <w:t xml:space="preserve">7,777,000</w:t>
            </w:r>
          </w:p>
        </w:tc>
      </w:tr>
      <w:tr>
        <w:tc>
          <w:tcPr>
            <w:gridSpan w:val="4"/>
          </w:tcPr>
          <w:p>
            <w:pPr>
              <w:pStyle w:val="Compact"/>
              <w:jc w:val="left"/>
            </w:pPr>
            <w:r>
              <w:t xml:space="preserve">GRAND TOTAL (IDR)</w:t>
            </w:r>
          </w:p>
        </w:tc>
        <w:tc>
          <w:tcPr/>
          <w:p>
            <w:pPr>
              <w:pStyle w:val="Compact"/>
              <w:jc w:val="left"/>
            </w:pPr>
            <w:r>
              <w:t xml:space="preserve">78,477,000</w:t>
            </w:r>
          </w:p>
        </w:tc>
      </w:tr>
    </w:tbl>
    <w:bookmarkEnd w:id="23"/>
    <w:bookmarkStart w:id="24" w:name="payment-terms-and-schedule"/>
    <w:p>
      <w:pPr>
        <w:pStyle w:val="Heading2"/>
      </w:pPr>
      <w:r>
        <w:t xml:space="preserve">4. Payment Terms and Schedule</w:t>
      </w:r>
    </w:p>
    <w:p>
      <w:pPr>
        <w:numPr>
          <w:ilvl w:val="0"/>
          <w:numId w:val="1002"/>
        </w:numPr>
        <w:pStyle w:val="Compact"/>
      </w:pPr>
      <w:r>
        <w:t xml:space="preserve">A non-refundable deposit of</w:t>
      </w:r>
      <w:r>
        <w:t xml:space="preserve"> </w:t>
      </w:r>
      <w:r>
        <w:rPr>
          <w:bCs/>
          <w:b/>
        </w:rPr>
        <w:t xml:space="preserve">30%</w:t>
      </w:r>
      <w:r>
        <w:t xml:space="preserve"> </w:t>
      </w:r>
      <w:r>
        <w:t xml:space="preserve">of the Grand Total (IDR 23,543,100) is due within five (5) business days of acceptance of this Quotation Estimate.</w:t>
      </w:r>
    </w:p>
    <w:p>
      <w:pPr>
        <w:numPr>
          <w:ilvl w:val="0"/>
          <w:numId w:val="1002"/>
        </w:numPr>
        <w:pStyle w:val="Compact"/>
      </w:pPr>
      <w:r>
        <w:t xml:space="preserve">The remaining</w:t>
      </w:r>
      <w:r>
        <w:t xml:space="preserve"> </w:t>
      </w:r>
      <w:r>
        <w:rPr>
          <w:bCs/>
          <w:b/>
        </w:rPr>
        <w:t xml:space="preserve">70%</w:t>
      </w:r>
      <w:r>
        <w:t xml:space="preserve"> </w:t>
      </w:r>
      <w:r>
        <w:t xml:space="preserve">shall be invoiced in three (3) equal monthly installments, payable within fourteen (14) calendar days of each invoice date.</w:t>
      </w:r>
    </w:p>
    <w:p>
      <w:pPr>
        <w:numPr>
          <w:ilvl w:val="0"/>
          <w:numId w:val="1002"/>
        </w:numPr>
        <w:pStyle w:val="Compact"/>
      </w:pPr>
      <w:r>
        <w:t xml:space="preserve">All payments shall be made via bank transfer to the designated account of PT Sehat Terapi Indonesia, Indonesia Jakarta branch. Payment references must include the Quotation Estimate number QE-OT-JKT-2025-0472.</w:t>
      </w:r>
    </w:p>
    <w:p>
      <w:pPr>
        <w:numPr>
          <w:ilvl w:val="0"/>
          <w:numId w:val="1002"/>
        </w:numPr>
        <w:pStyle w:val="Compact"/>
      </w:pPr>
      <w:r>
        <w:t xml:space="preserve">Late payments exceeding fourteen (14) days will incur a penalty of 2% per month on the outstanding balance.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pricing for Occupational Therapist services in Indonesia Jakarta may be subject to revision based on market conditions, regulatory changes, or resource availability.</w:t>
      </w:r>
    </w:p>
    <w:p>
      <w:pPr>
        <w:numPr>
          <w:ilvl w:val="0"/>
          <w:numId w:val="1003"/>
        </w:numPr>
        <w:pStyle w:val="Compact"/>
      </w:pPr>
      <w:r>
        <w:t xml:space="preserve">The Occupational Therapist assigned to this engagement must hold a valid license issued by the Indonesian Ministry of Health and be a registered member of the IAOT. The client reserves the right to request a qualified replacement if the assigned therapist is unavailable for more than two consecutive sessions.</w:t>
      </w:r>
    </w:p>
    <w:p>
      <w:pPr>
        <w:numPr>
          <w:ilvl w:val="0"/>
          <w:numId w:val="1003"/>
        </w:numPr>
        <w:pStyle w:val="Compact"/>
      </w:pPr>
      <w:r>
        <w:t xml:space="preserve">All services will be delivered in compliance with Indonesian healthcare regulations, the Personal Data Protection Law (UU PDP No. 27/2022), and the professional ethical code of the Occupational Therapist profession in Indonesia Jakarta.</w:t>
      </w:r>
    </w:p>
    <w:p>
      <w:pPr>
        <w:numPr>
          <w:ilvl w:val="0"/>
          <w:numId w:val="1003"/>
        </w:numPr>
        <w:pStyle w:val="Compact"/>
      </w:pPr>
      <w:r>
        <w:t xml:space="preserve">Confidentiality: All clinical records, assessment data, and progress reports generated during the engagement are the exclusive property of the client and shall be handled in strict accordance with Indonesian medical confidentiality standards.</w:t>
      </w:r>
    </w:p>
    <w:p>
      <w:pPr>
        <w:numPr>
          <w:ilvl w:val="0"/>
          <w:numId w:val="1003"/>
        </w:numPr>
        <w:pStyle w:val="Compact"/>
      </w:pPr>
      <w:r>
        <w:t xml:space="preserve">Cancellation: Should the client wish to cancel the engagement, a written notice of at least fourteen (14) days must be provided. Cancellation fees will be prorated based on sessions already delivered.</w:t>
      </w:r>
    </w:p>
    <w:p>
      <w:pPr>
        <w:numPr>
          <w:ilvl w:val="0"/>
          <w:numId w:val="1003"/>
        </w:numPr>
        <w:pStyle w:val="Compact"/>
      </w:pPr>
      <w:r>
        <w:t xml:space="preserve">This Quotation Estimate does not constitute a binding contract until both parties have executed the formal Service Agreement. The terms herein serve as a financial and operational estimate only.</w:t>
      </w:r>
    </w:p>
    <w:p>
      <w:pPr>
        <w:numPr>
          <w:ilvl w:val="0"/>
          <w:numId w:val="1003"/>
        </w:numPr>
        <w:pStyle w:val="Compact"/>
      </w:pPr>
      <w:r>
        <w:t xml:space="preserve">Any modifications to the scope of Occupational Therapist services, additional sessions, or changes to the service location within Indonesia Jakarta must be agreed upon in writing and may result in a revised Quotation Estimate.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Occupational Therapist services in Indonesia Jakarta and agrees to the terms, conditions, and financial projections outlined in this document. This acceptance authorizes PT Sehat Terapi Indonesia to proceed with scheduling and resource allocation for the described therapeutic program.</w:t>
      </w:r>
    </w:p>
    <w:p>
      <w:pPr>
        <w:pStyle w:val="BodyText"/>
      </w:pPr>
      <w:r>
        <w:rPr>
          <w:bCs/>
          <w:b/>
        </w:rPr>
        <w:t xml:space="preserve">Prepared By (Provider)</w:t>
      </w:r>
      <w:r>
        <w:br/>
      </w:r>
      <w:r>
        <w:t xml:space="preserve">PT Sehat Terapi Indonesia</w:t>
      </w:r>
      <w:r>
        <w:br/>
      </w:r>
      <w:r>
        <w:t xml:space="preserve">Occupational Therapist Division</w:t>
      </w:r>
      <w:r>
        <w:br/>
      </w:r>
      <w:r>
        <w:t xml:space="preserve">Indonesia Jakarta</w:t>
      </w:r>
      <w:r>
        <w:br/>
      </w:r>
      <w:r>
        <w:t xml:space="preserve">Name: _________________________</w:t>
      </w:r>
      <w:r>
        <w:br/>
      </w:r>
      <w:r>
        <w:t xml:space="preserve">Title: Lead Occupational Therapist</w:t>
      </w:r>
      <w:r>
        <w:br/>
      </w:r>
      <w:r>
        <w:t xml:space="preserve">Date: _________________________</w:t>
      </w:r>
    </w:p>
    <w:p>
      <w:pPr>
        <w:pStyle w:val="BodyText"/>
      </w:pPr>
      <w:r>
        <w:rPr>
          <w:bCs/>
          <w:b/>
        </w:rPr>
        <w:t xml:space="preserve">Accepted By (Client)</w:t>
      </w:r>
      <w:r>
        <w:br/>
      </w:r>
      <w:r>
        <w:t xml:space="preserve">Name: _________________________</w:t>
      </w:r>
      <w:r>
        <w:br/>
      </w:r>
      <w:r>
        <w:t xml:space="preserve">Organization: _________________________</w:t>
      </w:r>
      <w:r>
        <w:br/>
      </w:r>
      <w:r>
        <w:t xml:space="preserve">Address (Indonesia Jakarta): _________________________</w:t>
      </w:r>
      <w:r>
        <w:br/>
      </w:r>
      <w:r>
        <w:t xml:space="preserve">Date: _________________________</w:t>
      </w:r>
    </w:p>
    <w:p>
      <w:pPr>
        <w:pStyle w:val="BodyText"/>
      </w:pPr>
      <w:r>
        <w:t xml:space="preserve">This Quotation Estimate document (Ref: QE-OT-JKT-2025-0472) is issued exclusively for the engagement of Occupational Therapist services within Indonesia Jakarta.</w:t>
      </w:r>
      <w:r>
        <w:t xml:space="preserve"> </w:t>
      </w:r>
      <w:r>
        <w:t xml:space="preserve">It is not transferable and does not guarantee service delivery until a formal Service Agreement is executed.</w:t>
      </w:r>
      <w:r>
        <w:t xml:space="preserve"> </w:t>
      </w:r>
      <w:r>
        <w:t xml:space="preserve">© 2025 PT Sehat Terapi Indonesia.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Indonesia Jakarta</dc:title>
  <dc:creator/>
  <dc:language>en</dc:language>
  <cp:keywords/>
  <dcterms:created xsi:type="dcterms:W3CDTF">2026-10-10T07:35:02Z</dcterms:created>
  <dcterms:modified xsi:type="dcterms:W3CDTF">2026-10-10T07:35:02Z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