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Occupational Therapist Professional Services</w:t>
      </w:r>
    </w:p>
    <w:p>
      <w:pPr>
        <w:pStyle w:val="BodyText"/>
      </w:pPr>
      <w:r>
        <w:t xml:space="preserve">United States Miami, Florida</w:t>
      </w:r>
    </w:p>
    <w:bookmarkEnd w:id="20"/>
    <w:p>
      <w:pPr>
        <w:pStyle w:val="BodyText"/>
      </w:pPr>
      <w:r>
        <w:rPr>
          <w:bCs/>
          <w:b/>
        </w:rPr>
        <w:t xml:space="preserve">Quotation No.:</w:t>
      </w:r>
      <w:r>
        <w:t xml:space="preserve"> </w:t>
      </w:r>
      <w:r>
        <w:t xml:space="preserve">QTE-MIA-2025-04782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Dr. Elena Vasquez, OTR/L</w:t>
      </w:r>
      <w:r>
        <w:br/>
      </w:r>
      <w:r>
        <w:rPr>
          <w:bCs/>
          <w:b/>
        </w:rPr>
        <w:t xml:space="preserve">Practice:</w:t>
      </w:r>
      <w:r>
        <w:t xml:space="preserve"> </w:t>
      </w:r>
      <w:r>
        <w:t xml:space="preserve">Miami Rehabilitation &amp; Wellness Center</w:t>
      </w:r>
      <w:r>
        <w:br/>
      </w:r>
      <w:r>
        <w:rPr>
          <w:bCs/>
          <w:b/>
        </w:rPr>
        <w:t xml:space="preserve">Address:</w:t>
      </w:r>
      <w:r>
        <w:t xml:space="preserve"> </w:t>
      </w:r>
      <w:r>
        <w:t xml:space="preserve">3421 Biscayne Boulevard, Suite 210</w:t>
      </w:r>
      <w:r>
        <w:br/>
      </w:r>
      <w:r>
        <w:t xml:space="preserve">Miami, FL 33137, United States</w:t>
      </w:r>
    </w:p>
    <w:p>
      <w:pPr>
        <w:pStyle w:val="BodyText"/>
      </w:pPr>
      <w:r>
        <w:t xml:space="preserve">1. Introduction and Purpose of This Quotation Estimate</w:t>
      </w:r>
    </w:p>
    <w:p>
      <w:pPr>
        <w:pStyle w:val="BodyText"/>
      </w:pPr>
      <w:r>
        <w:t xml:space="preserve">This</w:t>
      </w:r>
      <w:r>
        <w:t xml:space="preserve"> </w:t>
      </w:r>
      <w:r>
        <w:t xml:space="preserve">Quotation Estimate</w:t>
      </w:r>
      <w:r>
        <w:t xml:space="preserve"> </w:t>
      </w:r>
      <w:r>
        <w:t xml:space="preserve">is formally issued by Miami Rehabilitation &amp; Wellness Center to provide a comprehensive and transparent financial breakdown of Occupational Therapist services to be delivered within the United States Miami metropolitan area. This document serves as a binding proposal for the scope of care, associated costs, and professional obligations that will govern the therapeutic engagement between our licensed Occupational Therapist and the requesting client or referring healthcare facility. All pricing reflected in this Quotation Estimate has been calibrated to align with current Florida state fee schedules, Medicare reimbursement guidelines, and prevailing market rates for specialized rehabilitation services in the United States Miami region.</w:t>
      </w:r>
    </w:p>
    <w:p>
      <w:pPr>
        <w:pStyle w:val="BodyText"/>
      </w:pPr>
      <w:r>
        <w:t xml:space="preserve">2. Client and Referral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Jonathan R. Whitfield</w:t>
            </w:r>
          </w:p>
        </w:tc>
      </w:tr>
      <w:tr>
        <w:tc>
          <w:tcPr/>
          <w:p>
            <w:pPr>
              <w:pStyle w:val="Compact"/>
              <w:jc w:val="left"/>
            </w:pPr>
            <w:r>
              <w:t xml:space="preserve">Referring Physician</w:t>
            </w:r>
          </w:p>
        </w:tc>
        <w:tc>
          <w:tcPr/>
          <w:p>
            <w:pPr>
              <w:pStyle w:val="Compact"/>
              <w:jc w:val="left"/>
            </w:pPr>
            <w:r>
              <w:t xml:space="preserve">Dr. Marcus Chen, MD – Miami Neuroscience Institute</w:t>
            </w:r>
          </w:p>
        </w:tc>
      </w:tr>
      <w:tr>
        <w:tc>
          <w:tcPr/>
          <w:p>
            <w:pPr>
              <w:pStyle w:val="Compact"/>
              <w:jc w:val="left"/>
            </w:pPr>
            <w:r>
              <w:t xml:space="preserve">Diagnosis / Indication</w:t>
            </w:r>
          </w:p>
        </w:tc>
        <w:tc>
          <w:tcPr/>
          <w:p>
            <w:pPr>
              <w:pStyle w:val="Compact"/>
              <w:jc w:val="left"/>
            </w:pPr>
            <w:r>
              <w:t xml:space="preserve">Post-stroke upper extremity dysfunction; bilateral fine motor impairment</w:t>
            </w:r>
          </w:p>
        </w:tc>
      </w:tr>
      <w:tr>
        <w:tc>
          <w:tcPr/>
          <w:p>
            <w:pPr>
              <w:pStyle w:val="Compact"/>
              <w:jc w:val="left"/>
            </w:pPr>
            <w:r>
              <w:t xml:space="preserve">Service Location</w:t>
            </w:r>
          </w:p>
        </w:tc>
        <w:tc>
          <w:tcPr/>
          <w:p>
            <w:pPr>
              <w:pStyle w:val="Compact"/>
              <w:jc w:val="left"/>
            </w:pPr>
            <w:r>
              <w:t xml:space="preserve">United States Miami – Outpatient Clinic, 3421 Biscayne Blvd, FL 33137</w:t>
            </w:r>
          </w:p>
        </w:tc>
      </w:tr>
      <w:tr>
        <w:tc>
          <w:tcPr/>
          <w:p>
            <w:pPr>
              <w:pStyle w:val="Compact"/>
              <w:jc w:val="left"/>
            </w:pPr>
            <w:r>
              <w:t xml:space="preserve">Proposed Duration</w:t>
            </w:r>
          </w:p>
        </w:tc>
        <w:tc>
          <w:tcPr/>
          <w:p>
            <w:pPr>
              <w:pStyle w:val="Compact"/>
              <w:jc w:val="left"/>
            </w:pPr>
            <w:r>
              <w:t xml:space="preserve">12 weeks (36 sessions), 3 sessions per week</w:t>
            </w:r>
          </w:p>
        </w:tc>
      </w:tr>
      <w:tr>
        <w:tc>
          <w:tcPr/>
          <w:p>
            <w:pPr>
              <w:pStyle w:val="Compact"/>
              <w:jc w:val="left"/>
            </w:pPr>
            <w:r>
              <w:t xml:space="preserve">Insurance Provider</w:t>
            </w:r>
          </w:p>
        </w:tc>
        <w:tc>
          <w:tcPr/>
          <w:p>
            <w:pPr>
              <w:pStyle w:val="Compact"/>
              <w:jc w:val="left"/>
            </w:pPr>
            <w:r>
              <w:t xml:space="preserve">Aetna PPO – Policy No. AET-88291-FL</w:t>
            </w:r>
          </w:p>
        </w:tc>
      </w:tr>
    </w:tbl>
    <w:p>
      <w:pPr>
        <w:pStyle w:val="BodyText"/>
      </w:pPr>
      <w:r>
        <w:t xml:space="preserve">3. Scope of Occupational Therapist Services</w:t>
      </w:r>
    </w:p>
    <w:p>
      <w:pPr>
        <w:pStyle w:val="BodyText"/>
      </w:pPr>
      <w:r>
        <w:t xml:space="preserve">The Occupational Therapist assigned to this case, Dr. Elena Vasquez (OTR/L, CHT, Board-Certified in Hand Therapy), will deliver a structured, evidence-based intervention program tailored to the client's functional goals. The scope of services included in this Quotation Estimate encompasses the following clinical components:</w:t>
      </w:r>
    </w:p>
    <w:p>
      <w:pPr>
        <w:numPr>
          <w:ilvl w:val="0"/>
          <w:numId w:val="1001"/>
        </w:numPr>
        <w:pStyle w:val="Compact"/>
      </w:pPr>
      <w:r>
        <w:rPr>
          <w:bCs/>
          <w:b/>
        </w:rPr>
        <w:t xml:space="preserve">Comprehensive Initial Assessment (2 hours):</w:t>
      </w:r>
      <w:r>
        <w:t xml:space="preserve"> </w:t>
      </w:r>
      <w:r>
        <w:t xml:space="preserve">A full functional capacity evaluation including ADL (Activities of Daily Living) analysis, upper extremity range of motion measurement, grip and pinch strength testing, sensory integration screening, and cognitive-motor coordination assessment conducted at our United States Miami facility.</w:t>
      </w:r>
    </w:p>
    <w:p>
      <w:pPr>
        <w:numPr>
          <w:ilvl w:val="0"/>
          <w:numId w:val="1001"/>
        </w:numPr>
        <w:pStyle w:val="Compact"/>
      </w:pPr>
      <w:r>
        <w:rPr>
          <w:bCs/>
          <w:b/>
        </w:rPr>
        <w:t xml:space="preserve">Individualized Treatment Sessions (45 minutes each):</w:t>
      </w:r>
      <w:r>
        <w:t xml:space="preserve"> </w:t>
      </w:r>
      <w:r>
        <w:t xml:space="preserve">Thirty-six (36) one-on-one Occupational Therapist sessions focusing on progressive upper extremity rehabilitation, adaptive equipment training, task-specific functional practice, and home program instruction.</w:t>
      </w:r>
    </w:p>
    <w:p>
      <w:pPr>
        <w:numPr>
          <w:ilvl w:val="0"/>
          <w:numId w:val="1001"/>
        </w:numPr>
        <w:pStyle w:val="Compact"/>
      </w:pPr>
      <w:r>
        <w:rPr>
          <w:bCs/>
          <w:b/>
        </w:rPr>
        <w:t xml:space="preserve">Group Therapy Participation (60 minutes, 4 sessions):</w:t>
      </w:r>
      <w:r>
        <w:t xml:space="preserve"> </w:t>
      </w:r>
      <w:r>
        <w:t xml:space="preserve">Small-group functional activities designed to promote social reintegration and peer-supported skill generalization within the United States Miami community rehabilitation setting.</w:t>
      </w:r>
    </w:p>
    <w:p>
      <w:pPr>
        <w:numPr>
          <w:ilvl w:val="0"/>
          <w:numId w:val="1001"/>
        </w:numPr>
        <w:pStyle w:val="Compact"/>
      </w:pPr>
      <w:r>
        <w:rPr>
          <w:bCs/>
          <w:b/>
        </w:rPr>
        <w:t xml:space="preserve">Adaptive Equipment Consultation and Fitting:</w:t>
      </w:r>
      <w:r>
        <w:t xml:space="preserve"> </w:t>
      </w:r>
      <w:r>
        <w:t xml:space="preserve">Assessment, recommendation, and initial fitting of orthotic devices, ergonomic tools, and environmental modifications to support independent living.</w:t>
      </w:r>
    </w:p>
    <w:p>
      <w:pPr>
        <w:numPr>
          <w:ilvl w:val="0"/>
          <w:numId w:val="1001"/>
        </w:numPr>
        <w:pStyle w:val="Compact"/>
      </w:pPr>
      <w:r>
        <w:rPr>
          <w:bCs/>
          <w:b/>
        </w:rPr>
        <w:t xml:space="preserve">Progress Documentation and Reporting:</w:t>
      </w:r>
      <w:r>
        <w:t xml:space="preserve"> </w:t>
      </w:r>
      <w:r>
        <w:t xml:space="preserve">Weekly progress notes, bi-weekly physician updates, and a comprehensive discharge summary with long-term maintenance recommendations.</w:t>
      </w:r>
    </w:p>
    <w:p>
      <w:pPr>
        <w:numPr>
          <w:ilvl w:val="0"/>
          <w:numId w:val="1001"/>
        </w:numPr>
        <w:pStyle w:val="Compact"/>
      </w:pPr>
      <w:r>
        <w:rPr>
          <w:bCs/>
          <w:b/>
        </w:rPr>
        <w:t xml:space="preserve">Telehealth Follow-Up (2 sessions):</w:t>
      </w:r>
      <w:r>
        <w:t xml:space="preserve"> </w:t>
      </w:r>
      <w:r>
        <w:t xml:space="preserve">Post-discharge virtual check-ins to monitor adherence to the home exercise program and address emerging functional concerns.</w:t>
      </w:r>
    </w:p>
    <w:p>
      <w:pPr>
        <w:pStyle w:val="FirstParagraph"/>
      </w:pPr>
      <w:r>
        <w:t xml:space="preserve">4. Financial Breakdown – Quotation Estimate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Initial Comprehensive Occupational Therapist Assessment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02</w:t>
            </w:r>
          </w:p>
        </w:tc>
        <w:tc>
          <w:tcPr/>
          <w:p>
            <w:pPr>
              <w:pStyle w:val="Compact"/>
              <w:jc w:val="left"/>
            </w:pPr>
            <w:r>
              <w:t xml:space="preserve">Individual Occupational Therapist Treatment Session (45 min)</w:t>
            </w:r>
          </w:p>
        </w:tc>
        <w:tc>
          <w:tcPr/>
          <w:p>
            <w:pPr>
              <w:pStyle w:val="Compact"/>
              <w:jc w:val="left"/>
            </w:pPr>
            <w:r>
              <w:t xml:space="preserve">36</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03</w:t>
            </w:r>
          </w:p>
        </w:tc>
        <w:tc>
          <w:tcPr/>
          <w:p>
            <w:pPr>
              <w:pStyle w:val="Compact"/>
              <w:jc w:val="left"/>
            </w:pPr>
            <w:r>
              <w:t xml:space="preserve">Group Functional Therapy Session (60 min)</w:t>
            </w:r>
          </w:p>
        </w:tc>
        <w:tc>
          <w:tcPr/>
          <w:p>
            <w:pPr>
              <w:pStyle w:val="Compact"/>
              <w:jc w:val="left"/>
            </w:pPr>
            <w:r>
              <w:t xml:space="preserve">4</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04</w:t>
            </w:r>
          </w:p>
        </w:tc>
        <w:tc>
          <w:tcPr/>
          <w:p>
            <w:pPr>
              <w:pStyle w:val="Compact"/>
              <w:jc w:val="left"/>
            </w:pPr>
            <w:r>
              <w:t xml:space="preserve">Adaptive Equipment Consultation and Orthotic Fitting</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05</w:t>
            </w:r>
          </w:p>
        </w:tc>
        <w:tc>
          <w:tcPr/>
          <w:p>
            <w:pPr>
              <w:pStyle w:val="Compact"/>
              <w:jc w:val="left"/>
            </w:pPr>
            <w:r>
              <w:t xml:space="preserve">Progress Documentation, Physician Reporting, and Discharge Summary</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Telehealth Follow-Up Session (30 min)</w:t>
            </w:r>
          </w:p>
        </w:tc>
        <w:tc>
          <w:tcPr/>
          <w:p>
            <w:pPr>
              <w:pStyle w:val="Compact"/>
              <w:jc w:val="left"/>
            </w:pPr>
            <w:r>
              <w:t xml:space="preserve">2</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07</w:t>
            </w:r>
          </w:p>
        </w:tc>
        <w:tc>
          <w:tcPr/>
          <w:p>
            <w:pPr>
              <w:pStyle w:val="Compact"/>
              <w:jc w:val="left"/>
            </w:pPr>
            <w:r>
              <w:t xml:space="preserve">Administrative and Scheduling Coordination Fee</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gridSpan w:val="4"/>
          </w:tcPr>
          <w:p>
            <w:pPr>
              <w:pStyle w:val="Compact"/>
              <w:jc w:val="left"/>
            </w:pPr>
            <w:r>
              <w:t xml:space="preserve">TOTAL ESTIMATED COST (Before Insurance Adjustment)</w:t>
            </w:r>
          </w:p>
        </w:tc>
        <w:tc>
          <w:tcPr/>
          <w:p>
            <w:pPr>
              <w:pStyle w:val="Compact"/>
              <w:jc w:val="left"/>
            </w:pPr>
            <w:r>
              <w:t xml:space="preserve">$8,030.00</w:t>
            </w:r>
          </w:p>
        </w:tc>
      </w:tr>
      <w:tr>
        <w:tc>
          <w:tcPr>
            <w:gridSpan w:val="4"/>
          </w:tcPr>
          <w:p>
            <w:pPr>
              <w:pStyle w:val="Compact"/>
              <w:jc w:val="left"/>
            </w:pPr>
            <w:r>
              <w:t xml:space="preserve">Estimated Insurance Coverage (Aetna PPO – 80% after deductible)</w:t>
            </w:r>
          </w:p>
        </w:tc>
        <w:tc>
          <w:tcPr/>
          <w:p>
            <w:pPr>
              <w:pStyle w:val="Compact"/>
              <w:jc w:val="left"/>
            </w:pPr>
            <w:r>
              <w:t xml:space="preserve">-$5,861.60</w:t>
            </w:r>
          </w:p>
        </w:tc>
      </w:tr>
      <w:tr>
        <w:tc>
          <w:tcPr>
            <w:gridSpan w:val="4"/>
          </w:tcPr>
          <w:p>
            <w:pPr>
              <w:pStyle w:val="Compact"/>
              <w:jc w:val="left"/>
            </w:pPr>
            <w:r>
              <w:t xml:space="preserve">ESTIMATED CLIENT RESPONSIBILITY (Out-of-Pocket)</w:t>
            </w:r>
          </w:p>
        </w:tc>
        <w:tc>
          <w:tcPr/>
          <w:p>
            <w:pPr>
              <w:pStyle w:val="Compact"/>
              <w:jc w:val="left"/>
            </w:pPr>
            <w:r>
              <w:t xml:space="preserve">$2,168.40</w:t>
            </w:r>
          </w:p>
        </w:tc>
      </w:tr>
    </w:tbl>
    <w:p>
      <w:pPr>
        <w:pStyle w:val="BodyText"/>
      </w:pPr>
      <w:r>
        <w:t xml:space="preserve">5. Terms and Conditions of This Quotation Estimate</w:t>
      </w:r>
    </w:p>
    <w:p>
      <w:pPr>
        <w:numPr>
          <w:ilvl w:val="0"/>
          <w:numId w:val="1002"/>
        </w:numPr>
        <w:pStyle w:val="Compact"/>
      </w:pPr>
      <w:r>
        <w:t xml:space="preserve">This Quotation Estimate is valid for thirty (30) calendar days from the date of issue. Any services initiated after the expiration date of July 12, 2025, will require a revised Quotation Estimate reflecting updated Occupational Therapist fee schedules.</w:t>
      </w:r>
    </w:p>
    <w:p>
      <w:pPr>
        <w:numPr>
          <w:ilvl w:val="0"/>
          <w:numId w:val="1002"/>
        </w:numPr>
        <w:pStyle w:val="Compact"/>
      </w:pPr>
      <w:r>
        <w:t xml:space="preserve">All Occupational Therapist services will be rendered at the United States Miami facility located at 3421 Biscayne Boulevard, Suite 210, unless otherwise authorized in writing by the referring physician and the client.</w:t>
      </w:r>
    </w:p>
    <w:p>
      <w:pPr>
        <w:numPr>
          <w:ilvl w:val="0"/>
          <w:numId w:val="1002"/>
        </w:numPr>
        <w:pStyle w:val="Compact"/>
      </w:pPr>
      <w:r>
        <w:t xml:space="preserve">The Occupational Therapist reserves the right to modify the treatment plan based on clinical progress, provided that any material change in scope or cost is communicated to the client in writing within five (5) business days.</w:t>
      </w:r>
    </w:p>
    <w:p>
      <w:pPr>
        <w:numPr>
          <w:ilvl w:val="0"/>
          <w:numId w:val="1002"/>
        </w:numPr>
        <w:pStyle w:val="Compact"/>
      </w:pPr>
      <w:r>
        <w:t xml:space="preserve">Payment for services rendered is due within fifteen (15) days of the monthly invoice. A late payment surcharge of 1.5% per month will apply to outstanding balances exceeding the grace period.</w:t>
      </w:r>
    </w:p>
    <w:p>
      <w:pPr>
        <w:numPr>
          <w:ilvl w:val="0"/>
          <w:numId w:val="1002"/>
        </w:numPr>
        <w:pStyle w:val="Compact"/>
      </w:pPr>
      <w:r>
        <w:t xml:space="preserve">Cancellations must be provided with a minimum of twenty-four (24) hours' notice. Sessions cancelled with less than 24 hours' notice will be billed at 50% of the standard Occupational Therapist session rate.</w:t>
      </w:r>
    </w:p>
    <w:p>
      <w:pPr>
        <w:numPr>
          <w:ilvl w:val="0"/>
          <w:numId w:val="1002"/>
        </w:numPr>
        <w:pStyle w:val="Compact"/>
      </w:pPr>
      <w:r>
        <w:t xml:space="preserve">This Quotation Estimate does not constitute a guarantee of specific clinical outcomes. The Occupational Therapist will exercise professional judgment in determining the most appropriate course of intervention consistent with the client's evolving needs.</w:t>
      </w:r>
    </w:p>
    <w:p>
      <w:pPr>
        <w:numPr>
          <w:ilvl w:val="0"/>
          <w:numId w:val="1002"/>
        </w:numPr>
        <w:pStyle w:val="Compact"/>
      </w:pPr>
      <w:r>
        <w:t xml:space="preserve">All services are subject to the Florida Board of Occupational Therapy licensure requirements and the ethical standards of the American Occupational Therapy Association (AOTA).</w:t>
      </w:r>
    </w:p>
    <w:p>
      <w:pPr>
        <w:numPr>
          <w:ilvl w:val="0"/>
          <w:numId w:val="1002"/>
        </w:numPr>
        <w:pStyle w:val="Compact"/>
      </w:pPr>
      <w:r>
        <w:t xml:space="preserve">Confidentiality of all client information is maintained in strict accordance with HIPAA regulations and Florida state privacy statutes applicable to healthcare providers in the United States Miami jurisdiction.</w:t>
      </w:r>
    </w:p>
    <w:p>
      <w:pPr>
        <w:pStyle w:val="FirstParagraph"/>
      </w:pPr>
      <w:r>
        <w:t xml:space="preserve">6. Acceptance and Authorization</w:t>
      </w:r>
    </w:p>
    <w:p>
      <w:pPr>
        <w:pStyle w:val="BodyText"/>
      </w:pPr>
      <w:r>
        <w:t xml:space="preserve">By signing below, the client or authorized representative acknowledges receipt of this Quotation Estimate, agrees to the terms and conditions outlined herein, and authorizes the Occupational Therapist at Miami Rehabilitation &amp; Wellness Center to commence the described services in the United States Miami area.</w:t>
      </w:r>
    </w:p>
    <w:p>
      <w:pPr>
        <w:pStyle w:val="BodyText"/>
      </w:pPr>
      <w:r>
        <w:t xml:space="preserve">Client / Authorized Representative</w:t>
      </w:r>
    </w:p>
    <w:p>
      <w:pPr>
        <w:pStyle w:val="BodyText"/>
      </w:pPr>
      <w:r>
        <w:t xml:space="preserve">Name: _________________________</w:t>
      </w:r>
      <w:r>
        <w:br/>
      </w:r>
      <w:r>
        <w:t xml:space="preserve">Date: _______________</w:t>
      </w:r>
    </w:p>
    <w:p>
      <w:pPr>
        <w:pStyle w:val="BodyText"/>
      </w:pPr>
      <w:r>
        <w:t xml:space="preserve">Dr. Elena Vasquez, OTR/L</w:t>
      </w:r>
      <w:r>
        <w:br/>
      </w:r>
      <w:r>
        <w:t xml:space="preserve">Occupational Therapist – Provider</w:t>
      </w:r>
    </w:p>
    <w:p>
      <w:pPr>
        <w:pStyle w:val="BodyText"/>
      </w:pPr>
      <w:r>
        <w:t xml:space="preserve">Date: _______________</w:t>
      </w:r>
    </w:p>
    <w:p>
      <w:pPr>
        <w:pStyle w:val="BodyText"/>
      </w:pPr>
      <w:r>
        <w:t xml:space="preserve">Referring Physician</w:t>
      </w:r>
    </w:p>
    <w:p>
      <w:pPr>
        <w:pStyle w:val="BodyText"/>
      </w:pPr>
      <w:r>
        <w:t xml:space="preserve">Name: _________________________</w:t>
      </w:r>
      <w:r>
        <w:br/>
      </w:r>
      <w:r>
        <w:t xml:space="preserve">Date: _______________</w:t>
      </w:r>
    </w:p>
    <w:p>
      <w:pPr>
        <w:pStyle w:val="BodyText"/>
      </w:pPr>
      <w:r>
        <w:t xml:space="preserve">Miami Rehabilitation &amp; Wellness Center | 3421 Biscayne Boulevard, Suite 210, Miami, FL 33137, United States</w:t>
      </w:r>
      <w:r>
        <w:br/>
      </w:r>
      <w:r>
        <w:t xml:space="preserve">Phone: (305) 555-0192 | Email: quotes@mriamiwellness.com | NPI: 1740289365</w:t>
      </w:r>
      <w:r>
        <w:br/>
      </w:r>
      <w:r>
        <w:t xml:space="preserve">This Quotation Estimate is a professional document. Please retain for your records. For questions regarding this Occupational Therapist service proposal, contact our billing office during business hours (Monday–Friday, 8:00 AM – 5:00 PM 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United States Miami</dc:title>
  <dc:creator/>
  <dc:language>en</dc:language>
  <cp:keywords/>
  <dcterms:created xsi:type="dcterms:W3CDTF">2026-10-10T14:24:41Z</dcterms:created>
  <dcterms:modified xsi:type="dcterms:W3CDTF">2026-10-10T14:24:41Z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