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Oceanographic Research Services — Vessel</w:t>
      </w:r>
      <w:r>
        <w:t xml:space="preserve"> </w:t>
      </w:r>
      <w:r>
        <w:t xml:space="preserve">Oceanographer</w:t>
      </w:r>
    </w:p>
    <w:p>
      <w:pPr>
        <w:pStyle w:val="BodyText"/>
      </w:pPr>
      <w:r>
        <w:t xml:space="preserve">Prepared for Client Operations in</w:t>
      </w:r>
      <w:r>
        <w:t xml:space="preserve"> </w:t>
      </w:r>
      <w:r>
        <w:t xml:space="preserve">Germany Munich</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OE-2025-MUC-0472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90 days from date of issue (until 13 September 2025)</w:t>
            </w:r>
          </w:p>
        </w:tc>
      </w:tr>
      <w:tr>
        <w:tc>
          <w:tcPr/>
          <w:p>
            <w:pPr>
              <w:pStyle w:val="Compact"/>
              <w:jc w:val="left"/>
            </w:pPr>
            <w:r>
              <w:t xml:space="preserve">Service Provider</w:t>
            </w:r>
          </w:p>
        </w:tc>
        <w:tc>
          <w:tcPr/>
          <w:p>
            <w:pPr>
              <w:pStyle w:val="Compact"/>
              <w:jc w:val="left"/>
            </w:pPr>
            <w:r>
              <w:t xml:space="preserve">DeepSea Marine Research GmbH, Hamburg, Germany</w:t>
            </w:r>
          </w:p>
        </w:tc>
      </w:tr>
      <w:tr>
        <w:tc>
          <w:tcPr/>
          <w:p>
            <w:pPr>
              <w:pStyle w:val="Compact"/>
              <w:jc w:val="left"/>
            </w:pPr>
            <w:r>
              <w:t xml:space="preserve">Client</w:t>
            </w:r>
          </w:p>
        </w:tc>
        <w:tc>
          <w:tcPr/>
          <w:p>
            <w:pPr>
              <w:pStyle w:val="Compact"/>
              <w:jc w:val="left"/>
            </w:pPr>
            <w:r>
              <w:t xml:space="preserve">Ludwig-Maximilians-Universität München, Faculty of Geosciences, Theresienstraße 41, 80333 Munich, Germany</w:t>
            </w:r>
          </w:p>
        </w:tc>
      </w:tr>
      <w:tr>
        <w:tc>
          <w:tcPr/>
          <w:p>
            <w:pPr>
              <w:pStyle w:val="Compact"/>
              <w:jc w:val="left"/>
            </w:pPr>
            <w:r>
              <w:t xml:space="preserve">Project Reference</w:t>
            </w:r>
          </w:p>
        </w:tc>
        <w:tc>
          <w:tcPr/>
          <w:p>
            <w:pPr>
              <w:pStyle w:val="Compact"/>
              <w:jc w:val="left"/>
            </w:pPr>
            <w:r>
              <w:t xml:space="preserve">Baltic Sea Bathymetric &amp; Hydrographic Survey 2025</w:t>
            </w:r>
          </w:p>
        </w:tc>
      </w:tr>
      <w:tr>
        <w:tc>
          <w:tcPr/>
          <w:p>
            <w:pPr>
              <w:pStyle w:val="Compact"/>
              <w:jc w:val="left"/>
            </w:pPr>
            <w:r>
              <w:t xml:space="preserve">Vessel</w:t>
            </w:r>
          </w:p>
        </w:tc>
        <w:tc>
          <w:tcPr/>
          <w:p>
            <w:pPr>
              <w:pStyle w:val="Compact"/>
              <w:jc w:val="left"/>
            </w:pPr>
            <w:r>
              <w:t xml:space="preserve">Oceanographer</w:t>
            </w:r>
            <w:r>
              <w:t xml:space="preserve"> </w:t>
            </w:r>
            <w:r>
              <w:t xml:space="preserve">(M/V, 68 m LOA, IMO 9487213)</w:t>
            </w:r>
          </w:p>
        </w:tc>
      </w:tr>
      <w:tr>
        <w:tc>
          <w:tcPr/>
          <w:p>
            <w:pPr>
              <w:pStyle w:val="Compact"/>
              <w:jc w:val="left"/>
            </w:pPr>
            <w:r>
              <w:t xml:space="preserve">Currency</w:t>
            </w:r>
          </w:p>
        </w:tc>
        <w:tc>
          <w:tcPr/>
          <w:p>
            <w:pPr>
              <w:pStyle w:val="Compact"/>
              <w:jc w:val="left"/>
            </w:pPr>
            <w:r>
              <w:t xml:space="preserve">Euro (EUR)</w:t>
            </w:r>
          </w:p>
        </w:tc>
      </w:tr>
    </w:tbl>
    <w:bookmarkStart w:id="21" w:name="scope-of-work"/>
    <w:p>
      <w:pPr>
        <w:pStyle w:val="Heading2"/>
      </w:pPr>
      <w:r>
        <w:t xml:space="preserve">1. Scope of Work</w:t>
      </w:r>
    </w:p>
    <w:p>
      <w:pPr>
        <w:pStyle w:val="FirstParagraph"/>
      </w:pPr>
      <w:r>
        <w:t xml:space="preserve">This</w:t>
      </w:r>
      <w:r>
        <w:t xml:space="preserve"> </w:t>
      </w:r>
      <w:r>
        <w:t xml:space="preserve">Quotation Estimate</w:t>
      </w:r>
      <w:r>
        <w:t xml:space="preserve"> </w:t>
      </w:r>
      <w:r>
        <w:t xml:space="preserve">is issued by DeepSea Marine Research GmbH in response to the formal request for proposal submitted by the Faculty of Geosciences at Ludwig-Maximilians-Universität München, located in</w:t>
      </w:r>
      <w:r>
        <w:t xml:space="preserve"> </w:t>
      </w:r>
      <w:r>
        <w:t xml:space="preserve">Germany Munich</w:t>
      </w:r>
      <w:r>
        <w:t xml:space="preserve">. The scope encompasses the full deployment of the research vessel</w:t>
      </w:r>
      <w:r>
        <w:t xml:space="preserve"> </w:t>
      </w:r>
      <w:r>
        <w:t xml:space="preserve">Oceanographer</w:t>
      </w:r>
      <w:r>
        <w:t xml:space="preserve"> </w:t>
      </w:r>
      <w:r>
        <w:t xml:space="preserve">for a 21-day hydrographic and bathymetric survey campaign in the southern Baltic Sea. The</w:t>
      </w:r>
      <w:r>
        <w:t xml:space="preserve"> </w:t>
      </w:r>
      <w:r>
        <w:t xml:space="preserve">Oceanographer</w:t>
      </w:r>
      <w:r>
        <w:t xml:space="preserve"> </w:t>
      </w:r>
      <w:r>
        <w:t xml:space="preserve">is a state-of-the-art oceanographic research vessel equipped with multibeam echosounders, CTD rosette systems, sub-bottom profilers, and a fully integrated data acquisition laboratory. All survey data will be delivered in IHO S-57 and GeoTIFF formats, with a comprehensive data management package prepared for the client's institutional repository in</w:t>
      </w:r>
      <w:r>
        <w:t xml:space="preserve"> </w:t>
      </w:r>
      <w:r>
        <w:t xml:space="preserve">Germany Munich</w:t>
      </w:r>
      <w:r>
        <w:t xml:space="preserve">.</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Daily charter rate of the research vessel</w:t>
            </w:r>
            <w:r>
              <w:t xml:space="preserve"> </w:t>
            </w:r>
            <w:r>
              <w:t xml:space="preserve">Oceanographer</w:t>
            </w:r>
            <w:r>
              <w:t xml:space="preserve">, including crew of 22, fuel, provisions, and standard insurance</w:t>
            </w:r>
          </w:p>
        </w:tc>
        <w:tc>
          <w:tcPr/>
          <w:p>
            <w:pPr>
              <w:pStyle w:val="Compact"/>
              <w:jc w:val="left"/>
            </w:pPr>
            <w:r>
              <w:t xml:space="preserve">21 days</w:t>
            </w:r>
          </w:p>
        </w:tc>
        <w:tc>
          <w:tcPr/>
          <w:p>
            <w:pPr>
              <w:pStyle w:val="Compact"/>
              <w:jc w:val="left"/>
            </w:pPr>
            <w:r>
              <w:t xml:space="preserve">€ 18,500.00</w:t>
            </w:r>
          </w:p>
        </w:tc>
        <w:tc>
          <w:tcPr/>
          <w:p>
            <w:pPr>
              <w:pStyle w:val="Compact"/>
              <w:jc w:val="left"/>
            </w:pPr>
            <w:r>
              <w:t xml:space="preserve">€ 388,500.00</w:t>
            </w:r>
          </w:p>
        </w:tc>
      </w:tr>
      <w:tr>
        <w:tc>
          <w:tcPr/>
          <w:p>
            <w:pPr>
              <w:pStyle w:val="Compact"/>
              <w:jc w:val="left"/>
            </w:pPr>
            <w:r>
              <w:t xml:space="preserve">2</w:t>
            </w:r>
          </w:p>
        </w:tc>
        <w:tc>
          <w:tcPr/>
          <w:p>
            <w:pPr>
              <w:pStyle w:val="Compact"/>
              <w:jc w:val="left"/>
            </w:pPr>
            <w:r>
              <w:t xml:space="preserve">Multibeam echosounder (MBES) survey operations — 400 kHz, 120 beams, full data processing and quality control</w:t>
            </w:r>
          </w:p>
        </w:tc>
        <w:tc>
          <w:tcPr/>
          <w:p>
            <w:pPr>
              <w:pStyle w:val="Compact"/>
              <w:jc w:val="left"/>
            </w:pPr>
            <w:r>
              <w:t xml:space="preserve">21 days</w:t>
            </w:r>
          </w:p>
        </w:tc>
        <w:tc>
          <w:tcPr/>
          <w:p>
            <w:pPr>
              <w:pStyle w:val="Compact"/>
              <w:jc w:val="left"/>
            </w:pPr>
            <w:r>
              <w:t xml:space="preserve">€ 4,200.00</w:t>
            </w:r>
          </w:p>
        </w:tc>
        <w:tc>
          <w:tcPr/>
          <w:p>
            <w:pPr>
              <w:pStyle w:val="Compact"/>
              <w:jc w:val="left"/>
            </w:pPr>
            <w:r>
              <w:t xml:space="preserve">€ 88,200.00</w:t>
            </w:r>
          </w:p>
        </w:tc>
      </w:tr>
      <w:tr>
        <w:tc>
          <w:tcPr/>
          <w:p>
            <w:pPr>
              <w:pStyle w:val="Compact"/>
              <w:jc w:val="left"/>
            </w:pPr>
            <w:r>
              <w:t xml:space="preserve">3</w:t>
            </w:r>
          </w:p>
        </w:tc>
        <w:tc>
          <w:tcPr/>
          <w:p>
            <w:pPr>
              <w:pStyle w:val="Compact"/>
              <w:jc w:val="left"/>
            </w:pPr>
            <w:r>
              <w:t xml:space="preserve">CTD (Conductivity, Temperature, Depth) profiling with 24-bottle rosette — 120 stations</w:t>
            </w:r>
          </w:p>
        </w:tc>
        <w:tc>
          <w:tcPr/>
          <w:p>
            <w:pPr>
              <w:pStyle w:val="Compact"/>
              <w:jc w:val="left"/>
            </w:pPr>
            <w:r>
              <w:t xml:space="preserve">120 stations</w:t>
            </w:r>
          </w:p>
        </w:tc>
        <w:tc>
          <w:tcPr/>
          <w:p>
            <w:pPr>
              <w:pStyle w:val="Compact"/>
              <w:jc w:val="left"/>
            </w:pPr>
            <w:r>
              <w:t xml:space="preserve">€ 380.00</w:t>
            </w:r>
          </w:p>
        </w:tc>
        <w:tc>
          <w:tcPr/>
          <w:p>
            <w:pPr>
              <w:pStyle w:val="Compact"/>
              <w:jc w:val="left"/>
            </w:pPr>
            <w:r>
              <w:t xml:space="preserve">€ 45,600.00</w:t>
            </w:r>
          </w:p>
        </w:tc>
      </w:tr>
      <w:tr>
        <w:tc>
          <w:tcPr/>
          <w:p>
            <w:pPr>
              <w:pStyle w:val="Compact"/>
              <w:jc w:val="left"/>
            </w:pPr>
            <w:r>
              <w:t xml:space="preserve">4</w:t>
            </w:r>
          </w:p>
        </w:tc>
        <w:tc>
          <w:tcPr/>
          <w:p>
            <w:pPr>
              <w:pStyle w:val="Compact"/>
              <w:jc w:val="left"/>
            </w:pPr>
            <w:r>
              <w:t xml:space="preserve">Sub-bottom profiler survey (3.5 kHz) — 850 nautical miles of tracklines</w:t>
            </w:r>
          </w:p>
        </w:tc>
        <w:tc>
          <w:tcPr/>
          <w:p>
            <w:pPr>
              <w:pStyle w:val="Compact"/>
              <w:jc w:val="left"/>
            </w:pPr>
            <w:r>
              <w:t xml:space="preserve">850 NM</w:t>
            </w:r>
          </w:p>
        </w:tc>
        <w:tc>
          <w:tcPr/>
          <w:p>
            <w:pPr>
              <w:pStyle w:val="Compact"/>
              <w:jc w:val="left"/>
            </w:pPr>
            <w:r>
              <w:t xml:space="preserve">€ 95.00</w:t>
            </w:r>
          </w:p>
        </w:tc>
        <w:tc>
          <w:tcPr/>
          <w:p>
            <w:pPr>
              <w:pStyle w:val="Compact"/>
              <w:jc w:val="left"/>
            </w:pPr>
            <w:r>
              <w:t xml:space="preserve">€ 80,750.00</w:t>
            </w:r>
          </w:p>
        </w:tc>
      </w:tr>
      <w:tr>
        <w:tc>
          <w:tcPr/>
          <w:p>
            <w:pPr>
              <w:pStyle w:val="Compact"/>
              <w:jc w:val="left"/>
            </w:pPr>
            <w:r>
              <w:t xml:space="preserve">5</w:t>
            </w:r>
          </w:p>
        </w:tc>
        <w:tc>
          <w:tcPr/>
          <w:p>
            <w:pPr>
              <w:pStyle w:val="Compact"/>
              <w:jc w:val="left"/>
            </w:pPr>
            <w:r>
              <w:t xml:space="preserve">Scientific support team (2 oceanographers, 1 geophysicist) — onboard for full campaign duration</w:t>
            </w:r>
          </w:p>
        </w:tc>
        <w:tc>
          <w:tcPr/>
          <w:p>
            <w:pPr>
              <w:pStyle w:val="Compact"/>
              <w:jc w:val="left"/>
            </w:pPr>
            <w:r>
              <w:t xml:space="preserve">21 days</w:t>
            </w:r>
          </w:p>
        </w:tc>
        <w:tc>
          <w:tcPr/>
          <w:p>
            <w:pPr>
              <w:pStyle w:val="Compact"/>
              <w:jc w:val="left"/>
            </w:pPr>
            <w:r>
              <w:t xml:space="preserve">€ 1,850.00</w:t>
            </w:r>
          </w:p>
        </w:tc>
        <w:tc>
          <w:tcPr/>
          <w:p>
            <w:pPr>
              <w:pStyle w:val="Compact"/>
              <w:jc w:val="left"/>
            </w:pPr>
            <w:r>
              <w:t xml:space="preserve">€ 38,850.00</w:t>
            </w:r>
          </w:p>
        </w:tc>
      </w:tr>
      <w:tr>
        <w:tc>
          <w:tcPr/>
          <w:p>
            <w:pPr>
              <w:pStyle w:val="Compact"/>
              <w:jc w:val="left"/>
            </w:pPr>
            <w:r>
              <w:t xml:space="preserve">6</w:t>
            </w:r>
          </w:p>
        </w:tc>
        <w:tc>
          <w:tcPr/>
          <w:p>
            <w:pPr>
              <w:pStyle w:val="Compact"/>
              <w:jc w:val="left"/>
            </w:pPr>
            <w:r>
              <w:t xml:space="preserve">Port fees, pilotage, and harbour master coordination at Kiel and Rostock (departure/return ports)</w:t>
            </w:r>
          </w:p>
        </w:tc>
        <w:tc>
          <w:tcPr/>
          <w:p>
            <w:pPr>
              <w:pStyle w:val="Compact"/>
              <w:jc w:val="left"/>
            </w:pPr>
            <w:r>
              <w:t xml:space="preserve">1 lot</w:t>
            </w:r>
          </w:p>
        </w:tc>
        <w:tc>
          <w:tcPr/>
          <w:p>
            <w:pPr>
              <w:pStyle w:val="Compact"/>
              <w:jc w:val="left"/>
            </w:pPr>
            <w:r>
              <w:t xml:space="preserve">€ 12,400.00</w:t>
            </w:r>
          </w:p>
        </w:tc>
        <w:tc>
          <w:tcPr/>
          <w:p>
            <w:pPr>
              <w:pStyle w:val="Compact"/>
              <w:jc w:val="left"/>
            </w:pPr>
            <w:r>
              <w:t xml:space="preserve">€ 12,400.00</w:t>
            </w:r>
          </w:p>
        </w:tc>
      </w:tr>
      <w:tr>
        <w:tc>
          <w:tcPr/>
          <w:p>
            <w:pPr>
              <w:pStyle w:val="Compact"/>
              <w:jc w:val="left"/>
            </w:pPr>
            <w:r>
              <w:t xml:space="preserve">7</w:t>
            </w:r>
          </w:p>
        </w:tc>
        <w:tc>
          <w:tcPr/>
          <w:p>
            <w:pPr>
              <w:pStyle w:val="Compact"/>
              <w:jc w:val="left"/>
            </w:pPr>
            <w:r>
              <w:t xml:space="preserve">Post-survey data processing, georeferencing, and delivery of final datasets to client in</w:t>
            </w:r>
            <w:r>
              <w:t xml:space="preserve"> </w:t>
            </w:r>
            <w:r>
              <w:t xml:space="preserve">Germany Munich</w:t>
            </w:r>
          </w:p>
        </w:tc>
        <w:tc>
          <w:tcPr/>
          <w:p>
            <w:pPr>
              <w:pStyle w:val="Compact"/>
              <w:jc w:val="left"/>
            </w:pPr>
            <w:r>
              <w:t xml:space="preserve">1 lot</w:t>
            </w:r>
          </w:p>
        </w:tc>
        <w:tc>
          <w:tcPr/>
          <w:p>
            <w:pPr>
              <w:pStyle w:val="Compact"/>
              <w:jc w:val="left"/>
            </w:pPr>
            <w:r>
              <w:t xml:space="preserve">€ 22,000.00</w:t>
            </w:r>
          </w:p>
        </w:tc>
        <w:tc>
          <w:tcPr/>
          <w:p>
            <w:pPr>
              <w:pStyle w:val="Compact"/>
              <w:jc w:val="left"/>
            </w:pPr>
            <w:r>
              <w:t xml:space="preserve">€ 22,000.00</w:t>
            </w:r>
          </w:p>
        </w:tc>
      </w:tr>
      <w:tr>
        <w:tc>
          <w:tcPr/>
          <w:p>
            <w:pPr>
              <w:pStyle w:val="Compact"/>
              <w:jc w:val="left"/>
            </w:pPr>
            <w:r>
              <w:t xml:space="preserve">8</w:t>
            </w:r>
          </w:p>
        </w:tc>
        <w:tc>
          <w:tcPr/>
          <w:p>
            <w:pPr>
              <w:pStyle w:val="Compact"/>
              <w:jc w:val="left"/>
            </w:pPr>
            <w:r>
              <w:t xml:space="preserve">Project management, reporting, and administrative coordination (based in Hamburg, reporting to Munich office)</w:t>
            </w:r>
          </w:p>
        </w:tc>
        <w:tc>
          <w:tcPr/>
          <w:p>
            <w:pPr>
              <w:pStyle w:val="Compact"/>
              <w:jc w:val="left"/>
            </w:pPr>
            <w:r>
              <w:t xml:space="preserve">1 lot</w:t>
            </w:r>
          </w:p>
        </w:tc>
        <w:tc>
          <w:tcPr/>
          <w:p>
            <w:pPr>
              <w:pStyle w:val="Compact"/>
              <w:jc w:val="left"/>
            </w:pPr>
            <w:r>
              <w:t xml:space="preserve">€ 15,500.00</w:t>
            </w:r>
          </w:p>
        </w:tc>
        <w:tc>
          <w:tcPr/>
          <w:p>
            <w:pPr>
              <w:pStyle w:val="Compact"/>
              <w:jc w:val="left"/>
            </w:pPr>
            <w:r>
              <w:t xml:space="preserve">€ 15,500.00</w:t>
            </w:r>
          </w:p>
        </w:tc>
      </w:tr>
      <w:tr>
        <w:tc>
          <w:tcPr/>
          <w:p>
            <w:pPr>
              <w:pStyle w:val="Compact"/>
              <w:jc w:val="left"/>
            </w:pPr>
            <w:r>
              <w:t xml:space="preserve">9</w:t>
            </w:r>
          </w:p>
        </w:tc>
        <w:tc>
          <w:tcPr/>
          <w:p>
            <w:pPr>
              <w:pStyle w:val="Compact"/>
              <w:jc w:val="left"/>
            </w:pPr>
            <w:r>
              <w:t xml:space="preserve">Contingency allowance (5% of items 1–8) for unforeseen weather delays or equipment recalibration</w:t>
            </w:r>
          </w:p>
        </w:tc>
        <w:tc>
          <w:tcPr/>
          <w:p>
            <w:pPr>
              <w:pStyle w:val="Compact"/>
              <w:jc w:val="left"/>
            </w:pPr>
            <w:r>
              <w:t xml:space="preserve">1 lot</w:t>
            </w:r>
          </w:p>
        </w:tc>
        <w:tc>
          <w:tcPr/>
          <w:p>
            <w:pPr>
              <w:pStyle w:val="Compact"/>
              <w:jc w:val="left"/>
            </w:pPr>
            <w:r>
              <w:t xml:space="preserve">€ 30,263.75</w:t>
            </w:r>
          </w:p>
        </w:tc>
        <w:tc>
          <w:tcPr/>
          <w:p>
            <w:pPr>
              <w:pStyle w:val="Compact"/>
              <w:jc w:val="left"/>
            </w:pPr>
            <w:r>
              <w:t xml:space="preserve">€ 30,263.75</w:t>
            </w:r>
          </w:p>
        </w:tc>
      </w:tr>
      <w:tr>
        <w:tc>
          <w:tcPr>
            <w:gridSpan w:val="4"/>
          </w:tcPr>
          <w:p>
            <w:pPr>
              <w:pStyle w:val="Compact"/>
              <w:jc w:val="right"/>
            </w:pPr>
            <w:r>
              <w:t xml:space="preserve">Grand Total (excl. VAT)</w:t>
            </w:r>
          </w:p>
        </w:tc>
        <w:tc>
          <w:tcPr/>
          <w:p>
            <w:pPr>
              <w:pStyle w:val="Compact"/>
              <w:jc w:val="left"/>
            </w:pPr>
            <w:r>
              <w:t xml:space="preserve">€ 722,063.75</w:t>
            </w:r>
          </w:p>
        </w:tc>
      </w:tr>
      <w:tr>
        <w:tc>
          <w:tcPr>
            <w:gridSpan w:val="4"/>
          </w:tcPr>
          <w:p>
            <w:pPr>
              <w:pStyle w:val="Compact"/>
              <w:jc w:val="right"/>
            </w:pPr>
            <w:r>
              <w:t xml:space="preserve">VAT (19% — German standard rate)</w:t>
            </w:r>
          </w:p>
        </w:tc>
        <w:tc>
          <w:tcPr/>
          <w:p>
            <w:pPr>
              <w:pStyle w:val="Compact"/>
              <w:jc w:val="left"/>
            </w:pPr>
            <w:r>
              <w:t xml:space="preserve">€ 137,192.11</w:t>
            </w:r>
          </w:p>
        </w:tc>
      </w:tr>
      <w:tr>
        <w:tc>
          <w:tcPr>
            <w:gridSpan w:val="4"/>
          </w:tcPr>
          <w:p>
            <w:pPr>
              <w:pStyle w:val="Compact"/>
              <w:jc w:val="right"/>
            </w:pPr>
            <w:r>
              <w:t xml:space="preserve">Grand Total (incl. VAT)</w:t>
            </w:r>
          </w:p>
        </w:tc>
        <w:tc>
          <w:tcPr/>
          <w:p>
            <w:pPr>
              <w:pStyle w:val="Compact"/>
              <w:jc w:val="left"/>
            </w:pPr>
            <w:r>
              <w:t xml:space="preserve">€ 859,255.86</w:t>
            </w:r>
          </w:p>
        </w:tc>
      </w:tr>
    </w:tbl>
    <w:bookmarkEnd w:id="22"/>
    <w:bookmarkStart w:id="23" w:name="schedule-and-logistics"/>
    <w:p>
      <w:pPr>
        <w:pStyle w:val="Heading2"/>
      </w:pPr>
      <w:r>
        <w:t xml:space="preserve">3. Schedule and Logistics</w:t>
      </w:r>
    </w:p>
    <w:p>
      <w:pPr>
        <w:pStyle w:val="FirstParagraph"/>
      </w:pPr>
      <w:r>
        <w:t xml:space="preserve">The</w:t>
      </w:r>
      <w:r>
        <w:t xml:space="preserve"> </w:t>
      </w:r>
      <w:r>
        <w:t xml:space="preserve">Oceanographer</w:t>
      </w:r>
      <w:r>
        <w:t xml:space="preserve"> </w:t>
      </w:r>
      <w:r>
        <w:t xml:space="preserve">will be made available for a 21-day survey window commencing on 15 September 2025, departing from the port of Kiel. The vessel will return to Rostock on 5 October 2025. All project coordination meetings prior to departure will be conducted at the client's facilities in</w:t>
      </w:r>
      <w:r>
        <w:t xml:space="preserve"> </w:t>
      </w:r>
      <w:r>
        <w:t xml:space="preserve">Germany Munich</w:t>
      </w:r>
      <w:r>
        <w:t xml:space="preserve">, with the project manager and lead oceanographer travelling from Hamburg to Munich for the pre-campaign planning workshop scheduled for 8–10 September 2025. Final data delivery and a debriefing presentation will take place at the client's campus in</w:t>
      </w:r>
      <w:r>
        <w:t xml:space="preserve"> </w:t>
      </w:r>
      <w:r>
        <w:t xml:space="preserve">Germany Munich</w:t>
      </w:r>
      <w:r>
        <w:t xml:space="preserve"> </w:t>
      </w:r>
      <w:r>
        <w:t xml:space="preserve">within 30 calendar days of the vessel's return.</w:t>
      </w:r>
    </w:p>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90 days from the date of issue. Any acceptance beyond this period will require revalidation of all pricing, particularly fuel surcharges and crew availability for the</w:t>
      </w:r>
      <w:r>
        <w:t xml:space="preserve"> </w:t>
      </w:r>
      <w:r>
        <w:t xml:space="preserve">Oceanographer</w:t>
      </w:r>
      <w:r>
        <w:t xml:space="preserve">.</w:t>
      </w:r>
    </w:p>
    <w:p>
      <w:pPr>
        <w:numPr>
          <w:ilvl w:val="0"/>
          <w:numId w:val="1001"/>
        </w:numPr>
        <w:pStyle w:val="Compact"/>
      </w:pPr>
      <w:r>
        <w:t xml:space="preserve">Payment terms: 30% advance payment upon contract signature, 40% upon completion of the survey at sea, and 30% upon final data delivery and acceptance by the client in</w:t>
      </w:r>
      <w:r>
        <w:t xml:space="preserve"> </w:t>
      </w:r>
      <w:r>
        <w:t xml:space="preserve">Germany Munich</w:t>
      </w:r>
      <w:r>
        <w:t xml:space="preserve">.</w:t>
      </w:r>
    </w:p>
    <w:p>
      <w:pPr>
        <w:numPr>
          <w:ilvl w:val="0"/>
          <w:numId w:val="1001"/>
        </w:numPr>
        <w:pStyle w:val="Compact"/>
      </w:pPr>
      <w:r>
        <w:t xml:space="preserve">All prices are quoted in Euro (EUR) and are subject to the German standard VAT rate of 19%. No additional customs or cross-border fees apply as both parties are registered within the European Union.</w:t>
      </w:r>
    </w:p>
    <w:p>
      <w:pPr>
        <w:numPr>
          <w:ilvl w:val="0"/>
          <w:numId w:val="1001"/>
        </w:numPr>
        <w:pStyle w:val="Compact"/>
      </w:pPr>
      <w:r>
        <w:t xml:space="preserve">The</w:t>
      </w:r>
      <w:r>
        <w:t xml:space="preserve"> </w:t>
      </w:r>
      <w:r>
        <w:t xml:space="preserve">Oceanographer</w:t>
      </w:r>
      <w:r>
        <w:t xml:space="preserve"> </w:t>
      </w:r>
      <w:r>
        <w:t xml:space="preserve">operates under the German Flag and complies with all IMO, IHO, and German maritime safety regulations. The vessel holds a valid Class Certificate from Germanischer Lloyd.</w:t>
      </w:r>
    </w:p>
    <w:p>
      <w:pPr>
        <w:numPr>
          <w:ilvl w:val="0"/>
          <w:numId w:val="1001"/>
        </w:numPr>
        <w:pStyle w:val="Compact"/>
      </w:pPr>
      <w:r>
        <w:t xml:space="preserve">Weather-related delays exceeding 48 hours will be documented and may result in a pro-rata adjustment to the daily charter rate. The client will be notified within 24 hours of any such event.</w:t>
      </w:r>
    </w:p>
    <w:p>
      <w:pPr>
        <w:numPr>
          <w:ilvl w:val="0"/>
          <w:numId w:val="1001"/>
        </w:numPr>
        <w:pStyle w:val="Compact"/>
      </w:pPr>
      <w:r>
        <w:t xml:space="preserve">All raw and processed survey data remain the intellectual property of the client (Ludwig-Maximilians-Universität München,</w:t>
      </w:r>
      <w:r>
        <w:t xml:space="preserve"> </w:t>
      </w:r>
      <w:r>
        <w:t xml:space="preserve">Germany Munich</w:t>
      </w:r>
      <w:r>
        <w:t xml:space="preserve">) upon full payment. The service provider retains the right to use anonymised data for internal quality assurance purposes only.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The terms herein are indicative and subject to final contractual negotiation.</w:t>
      </w:r>
    </w:p>
    <w:p>
      <w:pPr>
        <w:numPr>
          <w:ilvl w:val="0"/>
          <w:numId w:val="1001"/>
        </w:numPr>
        <w:pStyle w:val="Compact"/>
      </w:pPr>
      <w:r>
        <w:t xml:space="preserve">Force majeure events, including but not limited to severe weather, port closures, or governmental restrictions, will be handled in accordance with the UN Convention on Contracts for the International Sale of Goods (CISG).</w:t>
      </w:r>
    </w:p>
    <w:p>
      <w:pPr>
        <w:numPr>
          <w:ilvl w:val="0"/>
          <w:numId w:val="1001"/>
        </w:numPr>
        <w:pStyle w:val="Compact"/>
      </w:pPr>
      <w:r>
        <w:t xml:space="preserve">Disputes arising from this</w:t>
      </w:r>
      <w:r>
        <w:t xml:space="preserve"> </w:t>
      </w:r>
      <w:r>
        <w:t xml:space="preserve">Quotation Estimate</w:t>
      </w:r>
      <w:r>
        <w:t xml:space="preserve"> </w:t>
      </w:r>
      <w:r>
        <w:t xml:space="preserve">or any resulting contract shall be resolved by the competent courts in Munich,</w:t>
      </w:r>
      <w:r>
        <w:t xml:space="preserve"> </w:t>
      </w:r>
      <w:r>
        <w:t xml:space="preserve">Germany</w:t>
      </w:r>
      <w:r>
        <w:t xml:space="preserve">.</w:t>
      </w:r>
    </w:p>
    <w:bookmarkEnd w:id="24"/>
    <w:bookmarkStart w:id="25" w:name="acceptance"/>
    <w:p>
      <w:pPr>
        <w:pStyle w:val="Heading2"/>
      </w:pPr>
      <w:r>
        <w:t xml:space="preserve">5.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The service provider confirms the availability of the</w:t>
      </w:r>
      <w:r>
        <w:t xml:space="preserve"> </w:t>
      </w:r>
      <w:r>
        <w:t xml:space="preserve">Oceanographer</w:t>
      </w:r>
      <w:r>
        <w:t xml:space="preserve"> </w:t>
      </w:r>
      <w:r>
        <w:t xml:space="preserve">for the stated period and commits to delivering all services in accordance with the specifications described in this document.</w:t>
      </w:r>
    </w:p>
    <w:p>
      <w:pPr>
        <w:pStyle w:val="BodyText"/>
      </w:pPr>
      <w:r>
        <w:t xml:space="preserve">For and on behalf of DeepSea Marine Research GmbH</w:t>
      </w:r>
      <w:r>
        <w:br/>
      </w:r>
      <w:r>
        <w:t xml:space="preserve">Authorised Signatory — Hamburg, Germany</w:t>
      </w:r>
    </w:p>
    <w:p>
      <w:pPr>
        <w:pStyle w:val="BodyText"/>
      </w:pPr>
      <w:r>
        <w:t xml:space="preserve">For and on behalf of Ludwig-Maximilians-Universität München</w:t>
      </w:r>
      <w:r>
        <w:br/>
      </w:r>
      <w:r>
        <w:t xml:space="preserve">Authorised Signatory — Munich, Germany</w:t>
      </w:r>
    </w:p>
    <w:p>
      <w:pPr>
        <w:pStyle w:val="BodyText"/>
      </w:pPr>
      <w:r>
        <w:t xml:space="preserve">Quotation Estimate</w:t>
      </w:r>
      <w:r>
        <w:t xml:space="preserve"> </w:t>
      </w:r>
      <w:r>
        <w:t xml:space="preserve">OE-2025-MUC-0472 —</w:t>
      </w:r>
      <w:r>
        <w:t xml:space="preserve"> </w:t>
      </w:r>
      <w:r>
        <w:t xml:space="preserve">Oceanographer</w:t>
      </w:r>
      <w:r>
        <w:t xml:space="preserve"> </w:t>
      </w:r>
      <w:r>
        <w:t xml:space="preserve">Research Vessel — Client:</w:t>
      </w:r>
      <w:r>
        <w:t xml:space="preserve"> </w:t>
      </w:r>
      <w:r>
        <w:t xml:space="preserve">Germany Munich</w:t>
      </w:r>
      <w:r>
        <w:br/>
      </w:r>
      <w:r>
        <w:t xml:space="preserve">This document is confidential and intended solely for the named recipient. © 2025 DeepSea Marine Research GmbH.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 Germany Munich</dc:title>
  <dc:creator/>
  <dc:language>en</dc:language>
  <cp:keywords/>
  <dcterms:created xsi:type="dcterms:W3CDTF">2026-10-10T01:13:19Z</dcterms:created>
  <dcterms:modified xsi:type="dcterms:W3CDTF">2026-10-10T01:13:19Z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