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Marine Science &amp; Environmental Consulting Group</w:t>
      </w:r>
    </w:p>
    <w:p>
      <w:pPr>
        <w:pStyle w:val="BodyText"/>
      </w:pPr>
      <w:r>
        <w:t xml:space="preserve">Jl. Jend. Sudirman Kav. 52-53, SCBD Lot 28, Jakarta Selatan 12190, Indonesia</w:t>
      </w:r>
    </w:p>
    <w:p>
      <w:pPr>
        <w:pStyle w:val="BodyText"/>
      </w:pPr>
      <w:r>
        <w:t xml:space="preserve">Tel: +62-21-5790-4455 | Email: quotations@marinescienceid.co.id</w:t>
      </w:r>
    </w:p>
    <w:p>
      <w:pPr>
        <w:pStyle w:val="BodyText"/>
      </w:pPr>
      <w:r>
        <w:t xml:space="preserve">Company Registration No: 01.234.567.890 | NPWP: 02.345.678.9-011.000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QTE-OCE-JKT-2025-0047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PT Nusantara Marine Development, Jl. Gatot Subroto No. 88, Jakarta Pusat 10270, Indonesia</w:t>
            </w:r>
          </w:p>
        </w:tc>
      </w:tr>
      <w:tr>
        <w:tc>
          <w:tcPr/>
          <w:p>
            <w:pPr>
              <w:pStyle w:val="Compact"/>
              <w:jc w:val="left"/>
            </w:pPr>
            <w:r>
              <w:t xml:space="preserve">Project Location</w:t>
            </w:r>
          </w:p>
        </w:tc>
        <w:tc>
          <w:tcPr/>
          <w:p>
            <w:pPr>
              <w:pStyle w:val="Compact"/>
              <w:jc w:val="left"/>
            </w:pPr>
            <w:r>
              <w:t xml:space="preserve">Indonesia Jakarta – Jakarta Bay (Teluk Jakarta) and surrounding coastal waters</w:t>
            </w:r>
          </w:p>
        </w:tc>
      </w:tr>
      <w:tr>
        <w:tc>
          <w:tcPr/>
          <w:p>
            <w:pPr>
              <w:pStyle w:val="Compact"/>
              <w:jc w:val="left"/>
            </w:pPr>
            <w:r>
              <w:t xml:space="preserve">Project Title</w:t>
            </w:r>
          </w:p>
        </w:tc>
        <w:tc>
          <w:tcPr/>
          <w:p>
            <w:pPr>
              <w:pStyle w:val="Compact"/>
              <w:jc w:val="left"/>
            </w:pPr>
            <w:r>
              <w:t xml:space="preserve">Comprehensive Oceanographic Survey and Environmental Impact Assessment for Coastal Infrastructure Development</w:t>
            </w:r>
          </w:p>
        </w:tc>
      </w:tr>
      <w:tr>
        <w:tc>
          <w:tcPr/>
          <w:p>
            <w:pPr>
              <w:pStyle w:val="Compact"/>
              <w:jc w:val="left"/>
            </w:pPr>
            <w:r>
              <w:t xml:space="preserve">Prepared By</w:t>
            </w:r>
          </w:p>
        </w:tc>
        <w:tc>
          <w:tcPr/>
          <w:p>
            <w:pPr>
              <w:pStyle w:val="Compact"/>
              <w:jc w:val="left"/>
            </w:pPr>
            <w:r>
              <w:t xml:space="preserve">Dr. Hendra Wijaya, Lead Oceanographer, Marine Science &amp; Environmental Consulting Group</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Marine Science &amp; Environmental Consulting Group to PT Nusantara Marine Development for the engagement of a senior</w:t>
      </w:r>
      <w:r>
        <w:t xml:space="preserve"> </w:t>
      </w:r>
      <w:r>
        <w:t xml:space="preserve">Oceanographer</w:t>
      </w:r>
      <w:r>
        <w:t xml:space="preserve"> </w:t>
      </w:r>
      <w:r>
        <w:t xml:space="preserve">and supporting technical team to conduct a comprehensive marine environmental survey in the waters surrounding</w:t>
      </w:r>
      <w:r>
        <w:t xml:space="preserve"> </w:t>
      </w:r>
      <w:r>
        <w:t xml:space="preserve">Indonesia Jakarta</w:t>
      </w:r>
      <w:r>
        <w:t xml:space="preserve">. The scope encompasses hydrographic mapping, water quality analysis, benthic habitat assessment, and ecological impact evaluation in preparation for the proposed coastal reclamation and port expansion project in the Teluk Jakarta region. This</w:t>
      </w:r>
      <w:r>
        <w:t xml:space="preserve"> </w:t>
      </w:r>
      <w:r>
        <w:t xml:space="preserve">Quotation Estimate</w:t>
      </w:r>
      <w:r>
        <w:t xml:space="preserve"> </w:t>
      </w:r>
      <w:r>
        <w:t xml:space="preserve">reflects all professional fees, equipment costs, travel, and logistical expenses required to deliver the full scope of oceanographic services within the specified timeline.</w:t>
      </w:r>
    </w:p>
    <w:bookmarkEnd w:id="21"/>
    <w:bookmarkStart w:id="22" w:name="scope-of-work"/>
    <w:p>
      <w:pPr>
        <w:pStyle w:val="Heading2"/>
      </w:pPr>
      <w:r>
        <w:t xml:space="preserve">2. Scope of Work</w:t>
      </w:r>
    </w:p>
    <w:p>
      <w:pPr>
        <w:pStyle w:val="FirstParagraph"/>
      </w:pPr>
      <w:r>
        <w:t xml:space="preserve">The</w:t>
      </w:r>
      <w:r>
        <w:t xml:space="preserve"> </w:t>
      </w:r>
      <w:r>
        <w:t xml:space="preserve">Oceanographer</w:t>
      </w:r>
      <w:r>
        <w:t xml:space="preserve"> </w:t>
      </w:r>
      <w:r>
        <w:t xml:space="preserve">and associated field team will perform the following activities in and around</w:t>
      </w:r>
      <w:r>
        <w:t xml:space="preserve"> </w:t>
      </w:r>
      <w:r>
        <w:t xml:space="preserve">Indonesia Jakarta</w:t>
      </w:r>
      <w:r>
        <w:t xml:space="preserve">:</w:t>
      </w:r>
    </w:p>
    <w:p>
      <w:pPr>
        <w:numPr>
          <w:ilvl w:val="0"/>
          <w:numId w:val="1001"/>
        </w:numPr>
        <w:pStyle w:val="Compact"/>
      </w:pPr>
      <w:r>
        <w:rPr>
          <w:bCs/>
          <w:b/>
        </w:rPr>
        <w:t xml:space="preserve">Hydrographic and Bathymetric Survey:</w:t>
      </w:r>
      <w:r>
        <w:t xml:space="preserve"> </w:t>
      </w:r>
      <w:r>
        <w:t xml:space="preserve">Multibeam echosounder mapping of a 12 km² area of Jakarta Bay to produce high-resolution seafloor topography data at 1:5,000 scale.</w:t>
      </w:r>
    </w:p>
    <w:p>
      <w:pPr>
        <w:numPr>
          <w:ilvl w:val="0"/>
          <w:numId w:val="1001"/>
        </w:numPr>
        <w:pStyle w:val="Compact"/>
      </w:pPr>
      <w:r>
        <w:rPr>
          <w:bCs/>
          <w:b/>
        </w:rPr>
        <w:t xml:space="preserve">Water Column Profiling:</w:t>
      </w:r>
      <w:r>
        <w:t xml:space="preserve"> </w:t>
      </w:r>
      <w:r>
        <w:t xml:space="preserve">Conducting CTD (Conductivity, Temperature, Depth) casts at 24 stations across the survey area, including dissolved oxygen, turbidity, salinity, and pH measurements.</w:t>
      </w:r>
    </w:p>
    <w:p>
      <w:pPr>
        <w:numPr>
          <w:ilvl w:val="0"/>
          <w:numId w:val="1001"/>
        </w:numPr>
        <w:pStyle w:val="Compact"/>
      </w:pPr>
      <w:r>
        <w:rPr>
          <w:bCs/>
          <w:b/>
        </w:rPr>
        <w:t xml:space="preserve">Sediment Sampling and Analysis:</w:t>
      </w:r>
      <w:r>
        <w:t xml:space="preserve"> </w:t>
      </w:r>
      <w:r>
        <w:t xml:space="preserve">Collection and laboratory analysis of 48 sediment cores for grain size distribution, heavy metal content, polycyclic aromatic hydrocarbons (PAHs), and organic matter content.</w:t>
      </w:r>
    </w:p>
    <w:p>
      <w:pPr>
        <w:numPr>
          <w:ilvl w:val="0"/>
          <w:numId w:val="1001"/>
        </w:numPr>
        <w:pStyle w:val="Compact"/>
      </w:pPr>
      <w:r>
        <w:rPr>
          <w:bCs/>
          <w:b/>
        </w:rPr>
        <w:t xml:space="preserve">Benthic and Pelagic Ecological Assessment:</w:t>
      </w:r>
      <w:r>
        <w:t xml:space="preserve"> </w:t>
      </w:r>
      <w:r>
        <w:t xml:space="preserve">Visual transect surveys, plankton net tows, and fish population sampling to establish baseline biodiversity data for the</w:t>
      </w:r>
      <w:r>
        <w:t xml:space="preserve"> </w:t>
      </w:r>
      <w:r>
        <w:t xml:space="preserve">Indonesia Jakarta</w:t>
      </w:r>
      <w:r>
        <w:t xml:space="preserve"> </w:t>
      </w:r>
      <w:r>
        <w:t xml:space="preserve">coastal ecosystem.</w:t>
      </w:r>
    </w:p>
    <w:p>
      <w:pPr>
        <w:numPr>
          <w:ilvl w:val="0"/>
          <w:numId w:val="1001"/>
        </w:numPr>
        <w:pStyle w:val="Compact"/>
      </w:pPr>
      <w:r>
        <w:rPr>
          <w:bCs/>
          <w:b/>
        </w:rPr>
        <w:t xml:space="preserve">Current and Wave Measurement:</w:t>
      </w:r>
      <w:r>
        <w:t xml:space="preserve"> </w:t>
      </w:r>
      <w:r>
        <w:t xml:space="preserve">Deployment of ADCP (Acoustic Doppler Current Profiler) and wave buoys for a 30-day monitoring period to characterize hydrodynamic conditions.</w:t>
      </w:r>
    </w:p>
    <w:p>
      <w:pPr>
        <w:numPr>
          <w:ilvl w:val="0"/>
          <w:numId w:val="1001"/>
        </w:numPr>
        <w:pStyle w:val="Compact"/>
      </w:pPr>
      <w:r>
        <w:rPr>
          <w:bCs/>
          <w:b/>
        </w:rPr>
        <w:t xml:space="preserve">Environmental Impact Assessment (EIA) Support:</w:t>
      </w:r>
      <w:r>
        <w:t xml:space="preserve"> </w:t>
      </w:r>
      <w:r>
        <w:t xml:space="preserve">The</w:t>
      </w:r>
      <w:r>
        <w:t xml:space="preserve"> </w:t>
      </w:r>
      <w:r>
        <w:t xml:space="preserve">Oceanographer</w:t>
      </w:r>
      <w:r>
        <w:t xml:space="preserve"> </w:t>
      </w:r>
      <w:r>
        <w:t xml:space="preserve">will prepare technical chapters for the EIA document in compliance with Indonesian Ministry of Environment and Forestry (KLHK) regulations.</w:t>
      </w:r>
    </w:p>
    <w:p>
      <w:pPr>
        <w:numPr>
          <w:ilvl w:val="0"/>
          <w:numId w:val="1001"/>
        </w:numPr>
        <w:pStyle w:val="Compact"/>
      </w:pPr>
      <w:r>
        <w:rPr>
          <w:bCs/>
          <w:b/>
        </w:rPr>
        <w:t xml:space="preserve">Reporting and Presentation:</w:t>
      </w:r>
      <w:r>
        <w:t xml:space="preserve"> </w:t>
      </w:r>
      <w:r>
        <w:t xml:space="preserve">Delivery of a final technical report, GIS data packages, and a formal presentation to the client and relevant regulatory authorities in</w:t>
      </w:r>
      <w:r>
        <w:t xml:space="preserve"> </w:t>
      </w:r>
      <w:r>
        <w:t xml:space="preserve">Indonesia Jakarta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Amount (IDR)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Oceanographer – Professional Consultancy Fee (Dr. Hendra Wijaya, PhD in Oceanography, 20+ years experience)</w:t>
            </w:r>
          </w:p>
        </w:tc>
        <w:tc>
          <w:tcPr/>
          <w:p>
            <w:pPr>
              <w:pStyle w:val="Compact"/>
              <w:jc w:val="left"/>
            </w:pPr>
            <w:r>
              <w:t xml:space="preserve">1 person</w:t>
            </w:r>
          </w:p>
        </w:tc>
        <w:tc>
          <w:tcPr/>
          <w:p>
            <w:pPr>
              <w:pStyle w:val="Compact"/>
              <w:jc w:val="left"/>
            </w:pPr>
            <w:r>
              <w:t xml:space="preserve">8,500,000</w:t>
            </w:r>
          </w:p>
        </w:tc>
        <w:tc>
          <w:tcPr/>
          <w:p>
            <w:pPr>
              <w:pStyle w:val="Compact"/>
              <w:jc w:val="left"/>
            </w:pPr>
            <w:r>
              <w:t xml:space="preserve">1,020,000,000</w:t>
            </w:r>
          </w:p>
        </w:tc>
        <w:tc>
          <w:tcPr/>
          <w:p>
            <w:pPr>
              <w:pStyle w:val="Compact"/>
              <w:jc w:val="left"/>
            </w:pPr>
            <w:r>
              <w:t xml:space="preserve">120 days</w:t>
            </w:r>
          </w:p>
        </w:tc>
      </w:tr>
      <w:tr>
        <w:tc>
          <w:tcPr/>
          <w:p>
            <w:pPr>
              <w:pStyle w:val="Compact"/>
              <w:jc w:val="left"/>
            </w:pPr>
            <w:r>
              <w:t xml:space="preserve">2</w:t>
            </w:r>
          </w:p>
        </w:tc>
        <w:tc>
          <w:tcPr/>
          <w:p>
            <w:pPr>
              <w:pStyle w:val="Compact"/>
              <w:jc w:val="left"/>
            </w:pPr>
            <w:r>
              <w:t xml:space="preserve">Junior Oceanographer / Marine Biologist – Field Support (2 persons)</w:t>
            </w:r>
          </w:p>
        </w:tc>
        <w:tc>
          <w:tcPr/>
          <w:p>
            <w:pPr>
              <w:pStyle w:val="Compact"/>
              <w:jc w:val="left"/>
            </w:pPr>
            <w:r>
              <w:t xml:space="preserve">2 persons</w:t>
            </w:r>
          </w:p>
        </w:tc>
        <w:tc>
          <w:tcPr/>
          <w:p>
            <w:pPr>
              <w:pStyle w:val="Compact"/>
              <w:jc w:val="left"/>
            </w:pPr>
            <w:r>
              <w:t xml:space="preserve">4,200,000</w:t>
            </w:r>
          </w:p>
        </w:tc>
        <w:tc>
          <w:tcPr/>
          <w:p>
            <w:pPr>
              <w:pStyle w:val="Compact"/>
              <w:jc w:val="left"/>
            </w:pPr>
            <w:r>
              <w:t xml:space="preserve">1,008,000,000</w:t>
            </w:r>
          </w:p>
        </w:tc>
        <w:tc>
          <w:tcPr/>
          <w:p>
            <w:pPr>
              <w:pStyle w:val="Compact"/>
              <w:jc w:val="left"/>
            </w:pPr>
            <w:r>
              <w:t xml:space="preserve">120 days</w:t>
            </w:r>
          </w:p>
        </w:tc>
      </w:tr>
      <w:tr>
        <w:tc>
          <w:tcPr/>
          <w:p>
            <w:pPr>
              <w:pStyle w:val="Compact"/>
              <w:jc w:val="left"/>
            </w:pPr>
            <w:r>
              <w:t xml:space="preserve">3</w:t>
            </w:r>
          </w:p>
        </w:tc>
        <w:tc>
          <w:tcPr/>
          <w:p>
            <w:pPr>
              <w:pStyle w:val="Compact"/>
              <w:jc w:val="left"/>
            </w:pPr>
            <w:r>
              <w:t xml:space="preserve">Hydrographic Survey Vessel Charter (45m research vessel with full crew)</w:t>
            </w:r>
          </w:p>
        </w:tc>
        <w:tc>
          <w:tcPr/>
          <w:p>
            <w:pPr>
              <w:pStyle w:val="Compact"/>
              <w:jc w:val="left"/>
            </w:pPr>
            <w:r>
              <w:t xml:space="preserve">1 vessel</w:t>
            </w:r>
          </w:p>
        </w:tc>
        <w:tc>
          <w:tcPr/>
          <w:p>
            <w:pPr>
              <w:pStyle w:val="Compact"/>
              <w:jc w:val="left"/>
            </w:pPr>
            <w:r>
              <w:t xml:space="preserve">35,000,000</w:t>
            </w:r>
          </w:p>
        </w:tc>
        <w:tc>
          <w:tcPr/>
          <w:p>
            <w:pPr>
              <w:pStyle w:val="Compact"/>
              <w:jc w:val="left"/>
            </w:pPr>
            <w:r>
              <w:t xml:space="preserve">1,050,000,000</w:t>
            </w:r>
          </w:p>
        </w:tc>
        <w:tc>
          <w:tcPr/>
          <w:p>
            <w:pPr>
              <w:pStyle w:val="Compact"/>
              <w:jc w:val="left"/>
            </w:pPr>
            <w:r>
              <w:t xml:space="preserve">30 days</w:t>
            </w:r>
          </w:p>
        </w:tc>
      </w:tr>
      <w:tr>
        <w:tc>
          <w:tcPr/>
          <w:p>
            <w:pPr>
              <w:pStyle w:val="Compact"/>
              <w:jc w:val="left"/>
            </w:pPr>
            <w:r>
              <w:t xml:space="preserve">4</w:t>
            </w:r>
          </w:p>
        </w:tc>
        <w:tc>
          <w:tcPr/>
          <w:p>
            <w:pPr>
              <w:pStyle w:val="Compact"/>
              <w:jc w:val="left"/>
            </w:pPr>
            <w:r>
              <w:t xml:space="preserve">Multibeam Echosounder &amp; ADCP Equipment Rental and Calibration</w:t>
            </w:r>
          </w:p>
        </w:tc>
        <w:tc>
          <w:tcPr/>
          <w:p>
            <w:pPr>
              <w:pStyle w:val="Compact"/>
              <w:jc w:val="left"/>
            </w:pPr>
            <w:r>
              <w:t xml:space="preserve">1 set</w:t>
            </w:r>
          </w:p>
        </w:tc>
        <w:tc>
          <w:tcPr/>
          <w:p>
            <w:pPr>
              <w:pStyle w:val="Compact"/>
              <w:jc w:val="left"/>
            </w:pPr>
            <w:r>
              <w:t xml:space="preserve">12,000,000</w:t>
            </w:r>
          </w:p>
        </w:tc>
        <w:tc>
          <w:tcPr/>
          <w:p>
            <w:pPr>
              <w:pStyle w:val="Compact"/>
              <w:jc w:val="left"/>
            </w:pPr>
            <w:r>
              <w:t xml:space="preserve">360,000,000</w:t>
            </w:r>
          </w:p>
        </w:tc>
        <w:tc>
          <w:tcPr/>
          <w:p>
            <w:pPr>
              <w:pStyle w:val="Compact"/>
              <w:jc w:val="left"/>
            </w:pPr>
            <w:r>
              <w:t xml:space="preserve">30 days</w:t>
            </w:r>
          </w:p>
        </w:tc>
      </w:tr>
      <w:tr>
        <w:tc>
          <w:tcPr/>
          <w:p>
            <w:pPr>
              <w:pStyle w:val="Compact"/>
              <w:jc w:val="left"/>
            </w:pPr>
            <w:r>
              <w:t xml:space="preserve">5</w:t>
            </w:r>
          </w:p>
        </w:tc>
        <w:tc>
          <w:tcPr/>
          <w:p>
            <w:pPr>
              <w:pStyle w:val="Compact"/>
              <w:jc w:val="left"/>
            </w:pPr>
            <w:r>
              <w:t xml:space="preserve">CTD Profiler, Water Sampling Kits, and Laboratory Analysis (48 stations)</w:t>
            </w:r>
          </w:p>
        </w:tc>
        <w:tc>
          <w:tcPr/>
          <w:p>
            <w:pPr>
              <w:pStyle w:val="Compact"/>
              <w:jc w:val="left"/>
            </w:pPr>
            <w:r>
              <w:t xml:space="preserve">48 stations</w:t>
            </w:r>
          </w:p>
        </w:tc>
        <w:tc>
          <w:tcPr/>
          <w:p>
            <w:pPr>
              <w:pStyle w:val="Compact"/>
              <w:jc w:val="left"/>
            </w:pPr>
            <w:r>
              <w:t xml:space="preserve">8,500,000</w:t>
            </w:r>
          </w:p>
        </w:tc>
        <w:tc>
          <w:tcPr/>
          <w:p>
            <w:pPr>
              <w:pStyle w:val="Compact"/>
              <w:jc w:val="left"/>
            </w:pPr>
            <w:r>
              <w:t xml:space="preserve">408,000,000</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Sediment Core Sampling and Geochemical Laboratory Analysis</w:t>
            </w:r>
          </w:p>
        </w:tc>
        <w:tc>
          <w:tcPr/>
          <w:p>
            <w:pPr>
              <w:pStyle w:val="Compact"/>
              <w:jc w:val="left"/>
            </w:pPr>
            <w:r>
              <w:t xml:space="preserve">48 cores</w:t>
            </w:r>
          </w:p>
        </w:tc>
        <w:tc>
          <w:tcPr/>
          <w:p>
            <w:pPr>
              <w:pStyle w:val="Compact"/>
              <w:jc w:val="left"/>
            </w:pPr>
            <w:r>
              <w:t xml:space="preserve">6,200,000</w:t>
            </w:r>
          </w:p>
        </w:tc>
        <w:tc>
          <w:tcPr/>
          <w:p>
            <w:pPr>
              <w:pStyle w:val="Compact"/>
              <w:jc w:val="left"/>
            </w:pPr>
            <w:r>
              <w:t xml:space="preserve">297,600,000</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Wave Buoy and Current Meter Deployment (30-day monitoring)</w:t>
            </w:r>
          </w:p>
        </w:tc>
        <w:tc>
          <w:tcPr/>
          <w:p>
            <w:pPr>
              <w:pStyle w:val="Compact"/>
              <w:jc w:val="left"/>
            </w:pPr>
            <w:r>
              <w:t xml:space="preserve">2 units</w:t>
            </w:r>
          </w:p>
        </w:tc>
        <w:tc>
          <w:tcPr/>
          <w:p>
            <w:pPr>
              <w:pStyle w:val="Compact"/>
              <w:jc w:val="left"/>
            </w:pPr>
            <w:r>
              <w:t xml:space="preserve">15,000,000</w:t>
            </w:r>
          </w:p>
        </w:tc>
        <w:tc>
          <w:tcPr/>
          <w:p>
            <w:pPr>
              <w:pStyle w:val="Compact"/>
              <w:jc w:val="left"/>
            </w:pPr>
            <w:r>
              <w:t xml:space="preserve">900,000,000</w:t>
            </w:r>
          </w:p>
        </w:tc>
        <w:tc>
          <w:tcPr/>
          <w:p>
            <w:pPr>
              <w:pStyle w:val="Compact"/>
              <w:jc w:val="left"/>
            </w:pPr>
            <w:r>
              <w:t xml:space="preserve">30 days</w:t>
            </w:r>
          </w:p>
        </w:tc>
      </w:tr>
      <w:tr>
        <w:tc>
          <w:tcPr/>
          <w:p>
            <w:pPr>
              <w:pStyle w:val="Compact"/>
              <w:jc w:val="left"/>
            </w:pPr>
            <w:r>
              <w:t xml:space="preserve">8</w:t>
            </w:r>
          </w:p>
        </w:tc>
        <w:tc>
          <w:tcPr/>
          <w:p>
            <w:pPr>
              <w:pStyle w:val="Compact"/>
              <w:jc w:val="left"/>
            </w:pPr>
            <w:r>
              <w:t xml:space="preserve">Permits, Regulatory Filings, and KLHK Compliance Documentation for Indonesia Jakarta</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185,000,000</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Local Logistics, Accommodation, and Field Transportation in Indonesia Jakarta</w:t>
            </w:r>
          </w:p>
        </w:tc>
        <w:tc>
          <w:tcPr/>
          <w:p>
            <w:pPr>
              <w:pStyle w:val="Compact"/>
              <w:jc w:val="left"/>
            </w:pPr>
            <w:r>
              <w:t xml:space="preserve">5 persons</w:t>
            </w:r>
          </w:p>
        </w:tc>
        <w:tc>
          <w:tcPr/>
          <w:p>
            <w:pPr>
              <w:pStyle w:val="Compact"/>
              <w:jc w:val="left"/>
            </w:pPr>
            <w:r>
              <w:t xml:space="preserve">3,500,000</w:t>
            </w:r>
          </w:p>
        </w:tc>
        <w:tc>
          <w:tcPr/>
          <w:p>
            <w:pPr>
              <w:pStyle w:val="Compact"/>
              <w:jc w:val="left"/>
            </w:pPr>
            <w:r>
              <w:t xml:space="preserve">210,000,000</w:t>
            </w:r>
          </w:p>
        </w:tc>
        <w:tc>
          <w:tcPr/>
          <w:p>
            <w:pPr>
              <w:pStyle w:val="Compact"/>
              <w:jc w:val="left"/>
            </w:pPr>
            <w:r>
              <w:t xml:space="preserve">120 days</w:t>
            </w:r>
          </w:p>
        </w:tc>
      </w:tr>
      <w:tr>
        <w:tc>
          <w:tcPr/>
          <w:p>
            <w:pPr>
              <w:pStyle w:val="Compact"/>
              <w:jc w:val="left"/>
            </w:pPr>
            <w:r>
              <w:t xml:space="preserve">10</w:t>
            </w:r>
          </w:p>
        </w:tc>
        <w:tc>
          <w:tcPr/>
          <w:p>
            <w:pPr>
              <w:pStyle w:val="Compact"/>
              <w:jc w:val="left"/>
            </w:pPr>
            <w:r>
              <w:t xml:space="preserve">Final Technical Report, GIS Data Delivery, and Regulatory Presentation</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250,000,000</w:t>
            </w:r>
          </w:p>
        </w:tc>
        <w:tc>
          <w:tcPr/>
          <w:p>
            <w:pPr>
              <w:pStyle w:val="Compact"/>
              <w:jc w:val="left"/>
            </w:pPr>
            <w:r>
              <w:t xml:space="preserve">—</w:t>
            </w:r>
          </w:p>
        </w:tc>
      </w:tr>
      <w:tr>
        <w:tc>
          <w:tcPr>
            <w:gridSpan w:val="4"/>
          </w:tcPr>
          <w:p>
            <w:pPr>
              <w:pStyle w:val="Compact"/>
              <w:jc w:val="right"/>
            </w:pPr>
            <w:r>
              <w:t xml:space="preserve">SUBTOTAL</w:t>
            </w:r>
          </w:p>
        </w:tc>
        <w:tc>
          <w:tcPr/>
          <w:p>
            <w:pPr>
              <w:pStyle w:val="Compact"/>
              <w:jc w:val="left"/>
            </w:pPr>
            <w:r>
              <w:t xml:space="preserve">6,788,600,000</w:t>
            </w:r>
          </w:p>
        </w:tc>
        <w:tc>
          <w:tcPr/>
          <w:p>
            <w:pPr>
              <w:pStyle w:val="Compact"/>
            </w:pPr>
          </w:p>
        </w:tc>
      </w:tr>
      <w:tr>
        <w:tc>
          <w:tcPr>
            <w:gridSpan w:val="4"/>
          </w:tcPr>
          <w:p>
            <w:pPr>
              <w:pStyle w:val="Compact"/>
              <w:jc w:val="right"/>
            </w:pPr>
            <w:r>
              <w:t xml:space="preserve">VAT (PPN) 11%</w:t>
            </w:r>
          </w:p>
        </w:tc>
        <w:tc>
          <w:tcPr/>
          <w:p>
            <w:pPr>
              <w:pStyle w:val="Compact"/>
              <w:jc w:val="left"/>
            </w:pPr>
            <w:r>
              <w:t xml:space="preserve">746,746,000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7,535,346,000</w:t>
            </w:r>
          </w:p>
        </w:tc>
        <w:tc>
          <w:tcPr/>
          <w:p>
            <w:pPr>
              <w:pStyle w:val="Compact"/>
            </w:pPr>
          </w:p>
        </w:tc>
      </w:tr>
    </w:tbl>
    <w:p>
      <w:pPr>
        <w:pStyle w:val="BodyText"/>
      </w:pPr>
      <w:r>
        <w:t xml:space="preserve">All amounts are stated in Indonesian Rupiah (IDR). The total</w:t>
      </w:r>
      <w:r>
        <w:t xml:space="preserve"> </w:t>
      </w:r>
      <w:r>
        <w:t xml:space="preserve">Quotation Estimate</w:t>
      </w:r>
      <w:r>
        <w:t xml:space="preserve"> </w:t>
      </w:r>
      <w:r>
        <w:t xml:space="preserve">amount of IDR 7,535,346,000 (Seven Billion Five Hundred Thirty-Five Million Three Hundred Forty-Six Thousand Rupiah) is inclusive of 11% Value Added Tax (PPN) as mandated by the Republic of Indonesia tax regulations.</w:t>
      </w:r>
    </w:p>
    <w:bookmarkEnd w:id="23"/>
    <w:bookmarkStart w:id="24" w:name="project-timeline"/>
    <w:p>
      <w:pPr>
        <w:pStyle w:val="Heading2"/>
      </w:pPr>
      <w:r>
        <w:t xml:space="preserve">4. Project Timeline</w:t>
      </w:r>
    </w:p>
    <w:p>
      <w:pPr>
        <w:pStyle w:val="FirstParagraph"/>
      </w:pPr>
      <w:r>
        <w:t xml:space="preserve">The</w:t>
      </w:r>
      <w:r>
        <w:t xml:space="preserve"> </w:t>
      </w:r>
      <w:r>
        <w:t xml:space="preserve">Oceanographer</w:t>
      </w:r>
      <w:r>
        <w:t xml:space="preserve"> </w:t>
      </w:r>
      <w:r>
        <w:t xml:space="preserve">team will mobilize to</w:t>
      </w:r>
      <w:r>
        <w:t xml:space="preserve"> </w:t>
      </w:r>
      <w:r>
        <w:t xml:space="preserve">Indonesia Jakarta</w:t>
      </w:r>
      <w:r>
        <w:t xml:space="preserve"> </w:t>
      </w:r>
      <w:r>
        <w:t xml:space="preserve">within 14 days of contract execution. The total project duration is estimated at 16 weeks, broken down as follows: Weeks 1–2 for permitting and site reconnaissance; Weeks 3–8 for field data collection (hydrographic, water quality, sediment, and ecological surveys); Weeks 9–12 for laboratory analysis and data processing; Weeks 13–15 for report drafting and internal quality review; and Week 16 for final delivery and client presentation in Jakarta.</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the expiry date, all rates are subject to revision based on prevailing market conditions in</w:t>
      </w:r>
      <w:r>
        <w:t xml:space="preserve"> </w:t>
      </w:r>
      <w:r>
        <w:t xml:space="preserve">Indonesia Jakarta</w:t>
      </w:r>
      <w:r>
        <w:t xml:space="preserve">.</w:t>
      </w:r>
    </w:p>
    <w:p>
      <w:pPr>
        <w:numPr>
          <w:ilvl w:val="0"/>
          <w:numId w:val="1002"/>
        </w:numPr>
        <w:pStyle w:val="Compact"/>
      </w:pPr>
      <w:r>
        <w:t xml:space="preserve">Payment terms: 30% advance payment upon contract signing; 40% upon completion of fieldwork; 30% upon delivery and acceptance of the final technical report.</w:t>
      </w:r>
    </w:p>
    <w:p>
      <w:pPr>
        <w:numPr>
          <w:ilvl w:val="0"/>
          <w:numId w:val="1002"/>
        </w:numPr>
        <w:pStyle w:val="Compact"/>
      </w:pPr>
      <w:r>
        <w:t xml:space="preserve">All payments shall be made via bank transfer to the account of Marine Science &amp; Environmental Consulting Group, Bank Mandiri, Jakarta Branch, Account No. 137-00-2345678-9.</w:t>
      </w:r>
    </w:p>
    <w:p>
      <w:pPr>
        <w:numPr>
          <w:ilvl w:val="0"/>
          <w:numId w:val="1002"/>
        </w:numPr>
        <w:pStyle w:val="Compact"/>
      </w:pPr>
      <w:r>
        <w:t xml:space="preserve">The</w:t>
      </w:r>
      <w:r>
        <w:t xml:space="preserve"> </w:t>
      </w:r>
      <w:r>
        <w:t xml:space="preserve">Oceanographer</w:t>
      </w:r>
      <w:r>
        <w:t xml:space="preserve"> </w:t>
      </w:r>
      <w:r>
        <w:t xml:space="preserve">and field team shall comply with all applicable Indonesian environmental regulations, maritime safety codes, and local ordinances governing work in Jakarta Bay waters.</w:t>
      </w:r>
    </w:p>
    <w:p>
      <w:pPr>
        <w:numPr>
          <w:ilvl w:val="0"/>
          <w:numId w:val="1002"/>
        </w:numPr>
        <w:pStyle w:val="Compact"/>
      </w:pPr>
      <w:r>
        <w:t xml:space="preserve">Any change in scope beyond the parameters described in this</w:t>
      </w:r>
      <w:r>
        <w:t xml:space="preserve"> </w:t>
      </w:r>
      <w:r>
        <w:t xml:space="preserve">Quotation Estimate</w:t>
      </w:r>
      <w:r>
        <w:t xml:space="preserve"> </w:t>
      </w:r>
      <w:r>
        <w:t xml:space="preserve">shall be subject to a formal change order and additional cost assessment.</w:t>
      </w:r>
    </w:p>
    <w:p>
      <w:pPr>
        <w:numPr>
          <w:ilvl w:val="0"/>
          <w:numId w:val="1002"/>
        </w:numPr>
        <w:pStyle w:val="Compact"/>
      </w:pPr>
      <w:r>
        <w:t xml:space="preserve">Intellectual property rights to all raw data, processed datasets, and the final report shall transfer to the client upon full payment. The</w:t>
      </w:r>
      <w:r>
        <w:t xml:space="preserve"> </w:t>
      </w:r>
      <w:r>
        <w:t xml:space="preserve">Oceanographer</w:t>
      </w:r>
      <w:r>
        <w:t xml:space="preserve"> </w:t>
      </w:r>
      <w:r>
        <w:t xml:space="preserve">retains the right to publish anonymized scientific findings in peer-reviewed journals.</w:t>
      </w:r>
    </w:p>
    <w:p>
      <w:pPr>
        <w:numPr>
          <w:ilvl w:val="0"/>
          <w:numId w:val="1002"/>
        </w:numPr>
        <w:pStyle w:val="Compact"/>
      </w:pPr>
      <w:r>
        <w:t xml:space="preserve">Force majeure events, including but not limited to extreme weather, government-imposed maritime restrictions, or public health emergencies affecting</w:t>
      </w:r>
      <w:r>
        <w:t xml:space="preserve"> </w:t>
      </w:r>
      <w:r>
        <w:t xml:space="preserve">Indonesia Jakarta</w:t>
      </w:r>
      <w:r>
        <w:t xml:space="preserve">, shall extend the project timeline proportionally without penalty to either party.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Disputes arising from this engagement shall be resolved through arbitration in Jakarta, Indonesia, in accordance with the rules of the Indonesian National Board of Arbitration (BANI).</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Oceanographer</w:t>
      </w:r>
      <w:r>
        <w:t xml:space="preserve"> </w:t>
      </w:r>
      <w:r>
        <w:t xml:space="preserve">team for the marine survey project in</w:t>
      </w:r>
      <w:r>
        <w:t xml:space="preserve"> </w:t>
      </w:r>
      <w:r>
        <w:t xml:space="preserve">Indonesia Jakarta</w:t>
      </w:r>
      <w:r>
        <w:t xml:space="preserve">.</w:t>
      </w:r>
    </w:p>
    <w:p>
      <w:pPr>
        <w:pStyle w:val="BodyText"/>
      </w:pPr>
      <w:r>
        <w:rPr>
          <w:bCs/>
          <w:b/>
        </w:rPr>
        <w:t xml:space="preserve">For and on behalf of</w:t>
      </w:r>
      <w:r>
        <w:br/>
      </w:r>
      <w:r>
        <w:t xml:space="preserve">Marine Science &amp; Environmental Consulting Group</w:t>
      </w:r>
    </w:p>
    <w:p>
      <w:pPr>
        <w:pStyle w:val="BodyText"/>
      </w:pPr>
      <w:r>
        <w:rPr>
          <w:bCs/>
          <w:b/>
        </w:rPr>
        <w:t xml:space="preserve">Dr. Hendra Wijaya, PhD</w:t>
      </w:r>
      <w:r>
        <w:br/>
      </w:r>
      <w:r>
        <w:t xml:space="preserve">Lead Oceanographer &amp; Director</w:t>
      </w:r>
      <w:r>
        <w:br/>
      </w:r>
      <w:r>
        <w:t xml:space="preserve">Date: _______________</w:t>
      </w:r>
    </w:p>
    <w:p>
      <w:pPr>
        <w:pStyle w:val="BodyText"/>
      </w:pPr>
      <w:r>
        <w:rPr>
          <w:bCs/>
          <w:b/>
        </w:rPr>
        <w:t xml:space="preserve">Accepted by</w:t>
      </w:r>
      <w:r>
        <w:br/>
      </w:r>
      <w:r>
        <w:t xml:space="preserve">PT Nusantara Marine Development</w:t>
      </w:r>
    </w:p>
    <w:p>
      <w:pPr>
        <w:pStyle w:val="BodyText"/>
      </w:pPr>
      <w:r>
        <w:rPr>
          <w:bCs/>
          <w:b/>
        </w:rPr>
        <w:t xml:space="preserve">___________________________</w:t>
      </w:r>
      <w:r>
        <w:br/>
      </w:r>
      <w:r>
        <w:t xml:space="preserve">Authorized Signatory</w:t>
      </w:r>
      <w:r>
        <w:br/>
      </w:r>
      <w:r>
        <w:t xml:space="preserve">Date: _______________</w:t>
      </w:r>
    </w:p>
    <w:p>
      <w:pPr>
        <w:pStyle w:val="BodyText"/>
      </w:pPr>
      <w:r>
        <w:t xml:space="preserve">This Quotation Estimate document was prepared exclusively for PT Nusantara Marine Development and is not transferable. © 2025 Marine Science &amp; Environmental Consulting Group, Indonesia Jakarta. All rights reserved.</w:t>
      </w:r>
    </w:p>
    <w:p>
      <w:pPr>
        <w:pStyle w:val="BodyText"/>
      </w:pPr>
      <w:r>
        <w:t xml:space="preserve">Document Reference: QTE-OCE-JKT-2025-0047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Indonesia Jakarta</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