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Quotation</w:t>
      </w:r>
      <w:r>
        <w:t xml:space="preserve"> </w:t>
      </w:r>
      <w:r>
        <w:t xml:space="preserve">Estimate</w:t>
      </w:r>
      <w:r>
        <w:t xml:space="preserve"> </w:t>
      </w:r>
      <w:r>
        <w:t xml:space="preserve">-</w:t>
      </w:r>
      <w:r>
        <w:t xml:space="preserve"> </w:t>
      </w:r>
      <w:r>
        <w:t xml:space="preserve">Oceanographer</w:t>
      </w:r>
      <w:r>
        <w:t xml:space="preserve"> </w:t>
      </w:r>
      <w:r>
        <w:t xml:space="preserve">Services</w:t>
      </w:r>
      <w:r>
        <w:t xml:space="preserve"> </w:t>
      </w:r>
      <w:r>
        <w:t xml:space="preserve">-</w:t>
      </w:r>
      <w:r>
        <w:t xml:space="preserve"> </w:t>
      </w:r>
      <w:r>
        <w:t xml:space="preserve">Italy</w:t>
      </w:r>
      <w:r>
        <w:t xml:space="preserve"> </w:t>
      </w:r>
      <w:r>
        <w:t xml:space="preserve">Milan</w:t>
      </w:r>
    </w:p>
    <w:bookmarkStart w:id="20" w:name="quotation-estimate"/>
    <w:p>
      <w:pPr>
        <w:pStyle w:val="Heading1"/>
      </w:pPr>
      <w:r>
        <w:t xml:space="preserve">QUOTATION ESTIMATE</w:t>
      </w:r>
    </w:p>
    <w:p>
      <w:pPr>
        <w:pStyle w:val="FirstParagraph"/>
      </w:pPr>
      <w:r>
        <w:t xml:space="preserve">Professional Oceanographer Services &amp; Equipment Supply</w:t>
      </w:r>
    </w:p>
    <w:p>
      <w:pPr>
        <w:pStyle w:val="BodyText"/>
      </w:pPr>
      <w:r>
        <w:t xml:space="preserve">Prepared for Deployment in Italy Milan</w:t>
      </w:r>
    </w:p>
    <w:bookmarkEnd w:id="20"/>
    <w:tbl>
      <w:tblPr>
        <w:tblStyle w:val="Table"/>
        <w:tblW w:type="auto" w:w="0"/>
        <w:tblLook w:firstRow="0" w:lastRow="0" w:firstColumn="0" w:lastColumn="0" w:noHBand="0" w:noVBand="0" w:val="0000"/>
      </w:tblPr>
      <w:tblGrid>
        <w:gridCol w:w="3960"/>
        <w:gridCol w:w="3960"/>
      </w:tblGrid>
      <w:tr>
        <w:tc>
          <w:tcPr/>
          <w:p>
            <w:pPr>
              <w:pStyle w:val="Compact"/>
              <w:jc w:val="left"/>
            </w:pPr>
            <w:r>
              <w:t xml:space="preserve">Quotation Reference No.</w:t>
            </w:r>
          </w:p>
        </w:tc>
        <w:tc>
          <w:tcPr/>
          <w:p>
            <w:pPr>
              <w:pStyle w:val="Compact"/>
              <w:jc w:val="left"/>
            </w:pPr>
            <w:r>
              <w:t xml:space="preserve">QTE-2025-OM-0472</w:t>
            </w:r>
          </w:p>
        </w:tc>
      </w:tr>
      <w:tr>
        <w:tc>
          <w:tcPr/>
          <w:p>
            <w:pPr>
              <w:pStyle w:val="Compact"/>
              <w:jc w:val="left"/>
            </w:pPr>
            <w:r>
              <w:t xml:space="preserve">Date of Issue</w:t>
            </w:r>
          </w:p>
        </w:tc>
        <w:tc>
          <w:tcPr/>
          <w:p>
            <w:pPr>
              <w:pStyle w:val="Compact"/>
              <w:jc w:val="left"/>
            </w:pPr>
            <w:r>
              <w:t xml:space="preserve">14 June 2025</w:t>
            </w:r>
          </w:p>
        </w:tc>
      </w:tr>
      <w:tr>
        <w:tc>
          <w:tcPr/>
          <w:p>
            <w:pPr>
              <w:pStyle w:val="Compact"/>
              <w:jc w:val="left"/>
            </w:pPr>
            <w:r>
              <w:t xml:space="preserve">Valid Until</w:t>
            </w:r>
          </w:p>
        </w:tc>
        <w:tc>
          <w:tcPr/>
          <w:p>
            <w:pPr>
              <w:pStyle w:val="Compact"/>
              <w:jc w:val="left"/>
            </w:pPr>
            <w:r>
              <w:t xml:space="preserve">14 September 2025 (90 days)</w:t>
            </w:r>
          </w:p>
        </w:tc>
      </w:tr>
      <w:tr>
        <w:tc>
          <w:tcPr/>
          <w:p>
            <w:pPr>
              <w:pStyle w:val="Compact"/>
              <w:jc w:val="left"/>
            </w:pPr>
            <w:r>
              <w:t xml:space="preserve">Prepared By</w:t>
            </w:r>
          </w:p>
        </w:tc>
        <w:tc>
          <w:tcPr/>
          <w:p>
            <w:pPr>
              <w:pStyle w:val="Compact"/>
              <w:jc w:val="left"/>
            </w:pPr>
            <w:r>
              <w:t xml:space="preserve">Dr. Elena Marchetti, Senior Oceanographer &amp; Project Director</w:t>
            </w:r>
          </w:p>
        </w:tc>
      </w:tr>
      <w:tr>
        <w:tc>
          <w:tcPr/>
          <w:p>
            <w:pPr>
              <w:pStyle w:val="Compact"/>
              <w:jc w:val="left"/>
            </w:pPr>
            <w:r>
              <w:t xml:space="preserve">Client / Recipient</w:t>
            </w:r>
          </w:p>
        </w:tc>
        <w:tc>
          <w:tcPr/>
          <w:p>
            <w:pPr>
              <w:pStyle w:val="Compact"/>
              <w:jc w:val="left"/>
            </w:pPr>
            <w:r>
              <w:t xml:space="preserve">Polytechnic Institute of Marine Sciences, Via Bramante 52, 20156 Milan, Italy</w:t>
            </w:r>
          </w:p>
        </w:tc>
      </w:tr>
      <w:tr>
        <w:tc>
          <w:tcPr/>
          <w:p>
            <w:pPr>
              <w:pStyle w:val="Compact"/>
              <w:jc w:val="left"/>
            </w:pPr>
            <w:r>
              <w:t xml:space="preserve">Project Location</w:t>
            </w:r>
          </w:p>
        </w:tc>
        <w:tc>
          <w:tcPr/>
          <w:p>
            <w:pPr>
              <w:pStyle w:val="Compact"/>
              <w:jc w:val="left"/>
            </w:pPr>
            <w:r>
              <w:t xml:space="preserve">Milan, Lombardy, Italy (Primary) | Mediterranean Coastal Sites (Secondary)</w:t>
            </w:r>
          </w:p>
        </w:tc>
      </w:tr>
      <w:tr>
        <w:tc>
          <w:tcPr/>
          <w:p>
            <w:pPr>
              <w:pStyle w:val="Compact"/>
              <w:jc w:val="left"/>
            </w:pPr>
            <w:r>
              <w:t xml:space="preserve">Currency</w:t>
            </w:r>
          </w:p>
        </w:tc>
        <w:tc>
          <w:tcPr/>
          <w:p>
            <w:pPr>
              <w:pStyle w:val="Compact"/>
              <w:jc w:val="left"/>
            </w:pPr>
            <w:r>
              <w:t xml:space="preserve">Euro (EUR)</w:t>
            </w:r>
          </w:p>
        </w:tc>
      </w:tr>
    </w:tbl>
    <w:bookmarkStart w:id="21" w:name="executive-summary"/>
    <w:p>
      <w:pPr>
        <w:pStyle w:val="Heading2"/>
      </w:pPr>
      <w:r>
        <w:t xml:space="preserve">1. Executive Summary</w:t>
      </w:r>
    </w:p>
    <w:p>
      <w:pPr>
        <w:pStyle w:val="FirstParagraph"/>
      </w:pPr>
      <w:r>
        <w:t xml:space="preserve">This</w:t>
      </w:r>
      <w:r>
        <w:t xml:space="preserve"> </w:t>
      </w:r>
      <w:r>
        <w:t xml:space="preserve">Quotation Estimate</w:t>
      </w:r>
      <w:r>
        <w:t xml:space="preserve"> </w:t>
      </w:r>
      <w:r>
        <w:t xml:space="preserve">is formally issued to provide a comprehensive financial and operational breakdown for the engagement of a certified</w:t>
      </w:r>
      <w:r>
        <w:t xml:space="preserve"> </w:t>
      </w:r>
      <w:r>
        <w:t xml:space="preserve">Oceanographer</w:t>
      </w:r>
      <w:r>
        <w:t xml:space="preserve"> </w:t>
      </w:r>
      <w:r>
        <w:t xml:space="preserve">and the supply of associated marine research equipment, data analysis software, and field support services. The scope of this engagement is specifically tailored for deployment and operational use within</w:t>
      </w:r>
      <w:r>
        <w:t xml:space="preserve"> </w:t>
      </w:r>
      <w:r>
        <w:t xml:space="preserve">Italy Milan</w:t>
      </w:r>
      <w:r>
        <w:t xml:space="preserve">, with supplementary fieldwork conducted at designated Mediterranean coastal research stations in coordination with the client's institutional facilities in Milan.</w:t>
      </w:r>
    </w:p>
    <w:p>
      <w:pPr>
        <w:pStyle w:val="BodyText"/>
      </w:pPr>
      <w:r>
        <w:t xml:space="preserve">The</w:t>
      </w:r>
      <w:r>
        <w:t xml:space="preserve"> </w:t>
      </w:r>
      <w:r>
        <w:t xml:space="preserve">Oceanographer</w:t>
      </w:r>
      <w:r>
        <w:t xml:space="preserve"> </w:t>
      </w:r>
      <w:r>
        <w:t xml:space="preserve">services outlined herein encompass a full-cycle marine research programme, including hydrographic surveying, water quality assessment, sediment analysis, and the development of predictive oceanographic models. All deliverables, reporting, and administrative correspondence will be managed from the client's premises in</w:t>
      </w:r>
      <w:r>
        <w:t xml:space="preserve"> </w:t>
      </w:r>
      <w:r>
        <w:t xml:space="preserve">Italy Milan</w:t>
      </w:r>
      <w:r>
        <w:t xml:space="preserve">, ensuring direct oversight and alignment with the institution's strategic research objectives.</w:t>
      </w:r>
    </w:p>
    <w:bookmarkEnd w:id="21"/>
    <w:bookmarkStart w:id="22" w:name="scope-of-services"/>
    <w:p>
      <w:pPr>
        <w:pStyle w:val="Heading2"/>
      </w:pPr>
      <w:r>
        <w:t xml:space="preserve">2. Scope of Services</w:t>
      </w:r>
    </w:p>
    <w:p>
      <w:pPr>
        <w:pStyle w:val="FirstParagraph"/>
      </w:pPr>
      <w:r>
        <w:t xml:space="preserve">The</w:t>
      </w:r>
      <w:r>
        <w:t xml:space="preserve"> </w:t>
      </w:r>
      <w:r>
        <w:t xml:space="preserve">Oceanographer</w:t>
      </w:r>
      <w:r>
        <w:t xml:space="preserve"> </w:t>
      </w:r>
      <w:r>
        <w:t xml:space="preserve">engagement includes the following core service components, all of which are structured to support the operational needs of the client based in</w:t>
      </w:r>
      <w:r>
        <w:t xml:space="preserve"> </w:t>
      </w:r>
      <w:r>
        <w:t xml:space="preserve">Italy Milan</w:t>
      </w:r>
      <w:r>
        <w:t xml:space="preserve">:</w:t>
      </w:r>
    </w:p>
    <w:p>
      <w:pPr>
        <w:numPr>
          <w:ilvl w:val="0"/>
          <w:numId w:val="1001"/>
        </w:numPr>
        <w:pStyle w:val="Compact"/>
      </w:pPr>
      <w:r>
        <w:rPr>
          <w:bCs/>
          <w:b/>
        </w:rPr>
        <w:t xml:space="preserve">Hydrographic Surveying &amp; Bathymetric Mapping:</w:t>
      </w:r>
      <w:r>
        <w:t xml:space="preserve"> </w:t>
      </w:r>
      <w:r>
        <w:t xml:space="preserve">Conducting detailed depth measurements and seafloor topography surveys at three designated Mediterranean coastal sites, with all raw data processed and archived at the Milan headquarters.</w:t>
      </w:r>
    </w:p>
    <w:p>
      <w:pPr>
        <w:numPr>
          <w:ilvl w:val="0"/>
          <w:numId w:val="1001"/>
        </w:numPr>
        <w:pStyle w:val="Compact"/>
      </w:pPr>
      <w:r>
        <w:rPr>
          <w:bCs/>
          <w:b/>
        </w:rPr>
        <w:t xml:space="preserve">Water Quality Monitoring Programme:</w:t>
      </w:r>
      <w:r>
        <w:t xml:space="preserve"> </w:t>
      </w:r>
      <w:r>
        <w:t xml:space="preserve">A 12-month continuous monitoring cycle measuring salinity, dissolved oxygen, pH, turbidity, and nutrient concentrations (nitrate, phosphate, silicate) across 15 sampling stations.</w:t>
      </w:r>
    </w:p>
    <w:p>
      <w:pPr>
        <w:numPr>
          <w:ilvl w:val="0"/>
          <w:numId w:val="1001"/>
        </w:numPr>
        <w:pStyle w:val="Compact"/>
      </w:pPr>
      <w:r>
        <w:rPr>
          <w:bCs/>
          <w:b/>
        </w:rPr>
        <w:t xml:space="preserve">Sediment Core Analysis:</w:t>
      </w:r>
      <w:r>
        <w:t xml:space="preserve"> </w:t>
      </w:r>
      <w:r>
        <w:t xml:space="preserve">Collection and laboratory analysis of 40 sediment cores for geochemical and paleoceanographic interpretation, with laboratory work performed at the client's facility in Milan.</w:t>
      </w:r>
    </w:p>
    <w:p>
      <w:pPr>
        <w:numPr>
          <w:ilvl w:val="0"/>
          <w:numId w:val="1001"/>
        </w:numPr>
        <w:pStyle w:val="Compact"/>
      </w:pPr>
      <w:r>
        <w:rPr>
          <w:bCs/>
          <w:b/>
        </w:rPr>
        <w:t xml:space="preserve">Oceanographic Modelling &amp; Forecasting:</w:t>
      </w:r>
      <w:r>
        <w:t xml:space="preserve"> </w:t>
      </w:r>
      <w:r>
        <w:t xml:space="preserve">Development of a regional circulation model for the Ligurian and Tyrrhenian Sea sectors, calibrated with in-situ data and delivered as a software package for use in Milan.</w:t>
      </w:r>
    </w:p>
    <w:p>
      <w:pPr>
        <w:numPr>
          <w:ilvl w:val="0"/>
          <w:numId w:val="1001"/>
        </w:numPr>
        <w:pStyle w:val="Compact"/>
      </w:pPr>
      <w:r>
        <w:rPr>
          <w:bCs/>
          <w:b/>
        </w:rPr>
        <w:t xml:space="preserve">Technical Reporting &amp; Academic Publication Support:</w:t>
      </w:r>
      <w:r>
        <w:t xml:space="preserve"> </w:t>
      </w:r>
      <w:r>
        <w:t xml:space="preserve">Preparation of quarterly progress reports, a final comprehensive technical report, and assistance in drafting two peer-reviewed journal articles.</w:t>
      </w:r>
    </w:p>
    <w:p>
      <w:pPr>
        <w:numPr>
          <w:ilvl w:val="0"/>
          <w:numId w:val="1001"/>
        </w:numPr>
        <w:pStyle w:val="Compact"/>
      </w:pPr>
      <w:r>
        <w:rPr>
          <w:bCs/>
          <w:b/>
        </w:rPr>
        <w:t xml:space="preserve">Training &amp; Knowledge Transfer:</w:t>
      </w:r>
      <w:r>
        <w:t xml:space="preserve"> </w:t>
      </w:r>
      <w:r>
        <w:t xml:space="preserve">Four on-site training workshops conducted in Milan for the client's research staff, covering oceanographic instrumentation, data acquisition protocols, and model interpretation.</w:t>
      </w:r>
    </w:p>
    <w:bookmarkEnd w:id="22"/>
    <w:bookmarkStart w:id="23" w:name="itemised-cost-breakdown"/>
    <w:p>
      <w:pPr>
        <w:pStyle w:val="Heading2"/>
      </w:pPr>
      <w:r>
        <w:t xml:space="preserve">3. Itemised Cost Breakdown</w:t>
      </w:r>
    </w:p>
    <w:tbl>
      <w:tblPr>
        <w:tblStyle w:val="Table"/>
        <w:tblW w:type="auto" w:w="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Item No.</w:t>
            </w:r>
          </w:p>
        </w:tc>
        <w:tc>
          <w:tcPr/>
          <w:p>
            <w:pPr>
              <w:pStyle w:val="Compact"/>
              <w:jc w:val="left"/>
            </w:pPr>
            <w:r>
              <w:t xml:space="preserve">Description</w:t>
            </w:r>
          </w:p>
        </w:tc>
        <w:tc>
          <w:tcPr/>
          <w:p>
            <w:pPr>
              <w:pStyle w:val="Compact"/>
              <w:jc w:val="left"/>
            </w:pPr>
            <w:r>
              <w:t xml:space="preserve">Quantity</w:t>
            </w:r>
          </w:p>
        </w:tc>
        <w:tc>
          <w:tcPr/>
          <w:p>
            <w:pPr>
              <w:pStyle w:val="Compact"/>
              <w:jc w:val="left"/>
            </w:pPr>
            <w:r>
              <w:t xml:space="preserve">Unit Cost (EUR)</w:t>
            </w:r>
          </w:p>
        </w:tc>
        <w:tc>
          <w:tcPr/>
          <w:p>
            <w:pPr>
              <w:pStyle w:val="Compact"/>
              <w:jc w:val="left"/>
            </w:pPr>
            <w:r>
              <w:t xml:space="preserve">Total (EUR)</w:t>
            </w:r>
          </w:p>
        </w:tc>
      </w:tr>
      <w:tr>
        <w:tc>
          <w:tcPr/>
          <w:p>
            <w:pPr>
              <w:pStyle w:val="Compact"/>
              <w:jc w:val="left"/>
            </w:pPr>
            <w:r>
              <w:t xml:space="preserve">01</w:t>
            </w:r>
          </w:p>
        </w:tc>
        <w:tc>
          <w:tcPr/>
          <w:p>
            <w:pPr>
              <w:pStyle w:val="Compact"/>
              <w:jc w:val="left"/>
            </w:pPr>
            <w:r>
              <w:t xml:space="preserve">Senior Oceanographer – Professional Services (12 months, full-time)</w:t>
            </w:r>
          </w:p>
        </w:tc>
        <w:tc>
          <w:tcPr/>
          <w:p>
            <w:pPr>
              <w:pStyle w:val="Compact"/>
              <w:jc w:val="left"/>
            </w:pPr>
            <w:r>
              <w:t xml:space="preserve">12 months</w:t>
            </w:r>
          </w:p>
        </w:tc>
        <w:tc>
          <w:tcPr/>
          <w:p>
            <w:pPr>
              <w:pStyle w:val="Compact"/>
              <w:jc w:val="left"/>
            </w:pPr>
            <w:r>
              <w:t xml:space="preserve">14,500.00</w:t>
            </w:r>
          </w:p>
        </w:tc>
        <w:tc>
          <w:tcPr/>
          <w:p>
            <w:pPr>
              <w:pStyle w:val="Compact"/>
              <w:jc w:val="left"/>
            </w:pPr>
            <w:r>
              <w:t xml:space="preserve">174,000.00</w:t>
            </w:r>
          </w:p>
        </w:tc>
      </w:tr>
      <w:tr>
        <w:tc>
          <w:tcPr/>
          <w:p>
            <w:pPr>
              <w:pStyle w:val="Compact"/>
              <w:jc w:val="left"/>
            </w:pPr>
            <w:r>
              <w:t xml:space="preserve">02</w:t>
            </w:r>
          </w:p>
        </w:tc>
        <w:tc>
          <w:tcPr/>
          <w:p>
            <w:pPr>
              <w:pStyle w:val="Compact"/>
              <w:jc w:val="left"/>
            </w:pPr>
            <w:r>
              <w:t xml:space="preserve">Junior Oceanographer / Research Assistant (12 months, full-time)</w:t>
            </w:r>
          </w:p>
        </w:tc>
        <w:tc>
          <w:tcPr/>
          <w:p>
            <w:pPr>
              <w:pStyle w:val="Compact"/>
              <w:jc w:val="left"/>
            </w:pPr>
            <w:r>
              <w:t xml:space="preserve">12 months</w:t>
            </w:r>
          </w:p>
        </w:tc>
        <w:tc>
          <w:tcPr/>
          <w:p>
            <w:pPr>
              <w:pStyle w:val="Compact"/>
              <w:jc w:val="left"/>
            </w:pPr>
            <w:r>
              <w:t xml:space="preserve">8,200.00</w:t>
            </w:r>
          </w:p>
        </w:tc>
        <w:tc>
          <w:tcPr/>
          <w:p>
            <w:pPr>
              <w:pStyle w:val="Compact"/>
              <w:jc w:val="left"/>
            </w:pPr>
            <w:r>
              <w:t xml:space="preserve">98,400.00</w:t>
            </w:r>
          </w:p>
        </w:tc>
      </w:tr>
      <w:tr>
        <w:tc>
          <w:tcPr/>
          <w:p>
            <w:pPr>
              <w:pStyle w:val="Compact"/>
              <w:jc w:val="left"/>
            </w:pPr>
            <w:r>
              <w:t xml:space="preserve">03</w:t>
            </w:r>
          </w:p>
        </w:tc>
        <w:tc>
          <w:tcPr/>
          <w:p>
            <w:pPr>
              <w:pStyle w:val="Compact"/>
              <w:jc w:val="left"/>
            </w:pPr>
            <w:r>
              <w:t xml:space="preserve">CTD (Conductivity, Temperature, Depth) Profiler – Sea-Bird SBE 9119</w:t>
            </w:r>
          </w:p>
        </w:tc>
        <w:tc>
          <w:tcPr/>
          <w:p>
            <w:pPr>
              <w:pStyle w:val="Compact"/>
              <w:jc w:val="left"/>
            </w:pPr>
            <w:r>
              <w:t xml:space="preserve">2 units</w:t>
            </w:r>
          </w:p>
        </w:tc>
        <w:tc>
          <w:tcPr/>
          <w:p>
            <w:pPr>
              <w:pStyle w:val="Compact"/>
              <w:jc w:val="left"/>
            </w:pPr>
            <w:r>
              <w:t xml:space="preserve">32,000.00</w:t>
            </w:r>
          </w:p>
        </w:tc>
        <w:tc>
          <w:tcPr/>
          <w:p>
            <w:pPr>
              <w:pStyle w:val="Compact"/>
              <w:jc w:val="left"/>
            </w:pPr>
            <w:r>
              <w:t xml:space="preserve">64,000.00</w:t>
            </w:r>
          </w:p>
        </w:tc>
      </w:tr>
      <w:tr>
        <w:tc>
          <w:tcPr/>
          <w:p>
            <w:pPr>
              <w:pStyle w:val="Compact"/>
              <w:jc w:val="left"/>
            </w:pPr>
            <w:r>
              <w:t xml:space="preserve">04</w:t>
            </w:r>
          </w:p>
        </w:tc>
        <w:tc>
          <w:tcPr/>
          <w:p>
            <w:pPr>
              <w:pStyle w:val="Compact"/>
              <w:jc w:val="left"/>
            </w:pPr>
            <w:r>
              <w:t xml:space="preserve">Multi-Beam Echo Sounder – Teledyne Odom 3800</w:t>
            </w:r>
          </w:p>
        </w:tc>
        <w:tc>
          <w:tcPr/>
          <w:p>
            <w:pPr>
              <w:pStyle w:val="Compact"/>
              <w:jc w:val="left"/>
            </w:pPr>
            <w:r>
              <w:t xml:space="preserve">1 unit</w:t>
            </w:r>
          </w:p>
        </w:tc>
        <w:tc>
          <w:tcPr/>
          <w:p>
            <w:pPr>
              <w:pStyle w:val="Compact"/>
              <w:jc w:val="left"/>
            </w:pPr>
            <w:r>
              <w:t xml:space="preserve">85,000.00</w:t>
            </w:r>
          </w:p>
        </w:tc>
        <w:tc>
          <w:tcPr/>
          <w:p>
            <w:pPr>
              <w:pStyle w:val="Compact"/>
              <w:jc w:val="left"/>
            </w:pPr>
            <w:r>
              <w:t xml:space="preserve">85,000.00</w:t>
            </w:r>
          </w:p>
        </w:tc>
      </w:tr>
      <w:tr>
        <w:tc>
          <w:tcPr/>
          <w:p>
            <w:pPr>
              <w:pStyle w:val="Compact"/>
              <w:jc w:val="left"/>
            </w:pPr>
            <w:r>
              <w:t xml:space="preserve">05</w:t>
            </w:r>
          </w:p>
        </w:tc>
        <w:tc>
          <w:tcPr/>
          <w:p>
            <w:pPr>
              <w:pStyle w:val="Compact"/>
              <w:jc w:val="left"/>
            </w:pPr>
            <w:r>
              <w:t xml:space="preserve">Sediment Corer – Box Corer &amp; Piston Corer Set</w:t>
            </w:r>
          </w:p>
        </w:tc>
        <w:tc>
          <w:tcPr/>
          <w:p>
            <w:pPr>
              <w:pStyle w:val="Compact"/>
              <w:jc w:val="left"/>
            </w:pPr>
            <w:r>
              <w:t xml:space="preserve">1 set</w:t>
            </w:r>
          </w:p>
        </w:tc>
        <w:tc>
          <w:tcPr/>
          <w:p>
            <w:pPr>
              <w:pStyle w:val="Compact"/>
              <w:jc w:val="left"/>
            </w:pPr>
            <w:r>
              <w:t xml:space="preserve">18,500.00</w:t>
            </w:r>
          </w:p>
        </w:tc>
        <w:tc>
          <w:tcPr/>
          <w:p>
            <w:pPr>
              <w:pStyle w:val="Compact"/>
              <w:jc w:val="left"/>
            </w:pPr>
            <w:r>
              <w:t xml:space="preserve">18,500.00</w:t>
            </w:r>
          </w:p>
        </w:tc>
      </w:tr>
      <w:tr>
        <w:tc>
          <w:tcPr/>
          <w:p>
            <w:pPr>
              <w:pStyle w:val="Compact"/>
              <w:jc w:val="left"/>
            </w:pPr>
            <w:r>
              <w:t xml:space="preserve">06</w:t>
            </w:r>
          </w:p>
        </w:tc>
        <w:tc>
          <w:tcPr/>
          <w:p>
            <w:pPr>
              <w:pStyle w:val="Compact"/>
              <w:jc w:val="left"/>
            </w:pPr>
            <w:r>
              <w:t xml:space="preserve">Oceanographic Modelling Software Licence (MITgcm / ROMS) – 3-year subscription</w:t>
            </w:r>
          </w:p>
        </w:tc>
        <w:tc>
          <w:tcPr/>
          <w:p>
            <w:pPr>
              <w:pStyle w:val="Compact"/>
              <w:jc w:val="left"/>
            </w:pPr>
            <w:r>
              <w:t xml:space="preserve">1 licence</w:t>
            </w:r>
          </w:p>
        </w:tc>
        <w:tc>
          <w:tcPr/>
          <w:p>
            <w:pPr>
              <w:pStyle w:val="Compact"/>
              <w:jc w:val="left"/>
            </w:pPr>
            <w:r>
              <w:t xml:space="preserve">22,000.00</w:t>
            </w:r>
          </w:p>
        </w:tc>
        <w:tc>
          <w:tcPr/>
          <w:p>
            <w:pPr>
              <w:pStyle w:val="Compact"/>
              <w:jc w:val="left"/>
            </w:pPr>
            <w:r>
              <w:t xml:space="preserve">22,000.00</w:t>
            </w:r>
          </w:p>
        </w:tc>
      </w:tr>
      <w:tr>
        <w:tc>
          <w:tcPr/>
          <w:p>
            <w:pPr>
              <w:pStyle w:val="Compact"/>
              <w:jc w:val="left"/>
            </w:pPr>
            <w:r>
              <w:t xml:space="preserve">07</w:t>
            </w:r>
          </w:p>
        </w:tc>
        <w:tc>
          <w:tcPr/>
          <w:p>
            <w:pPr>
              <w:pStyle w:val="Compact"/>
              <w:jc w:val="left"/>
            </w:pPr>
            <w:r>
              <w:t xml:space="preserve">Field Campaign Vessel Charter (Mediterranean coastal sites, 48 days)</w:t>
            </w:r>
          </w:p>
        </w:tc>
        <w:tc>
          <w:tcPr/>
          <w:p>
            <w:pPr>
              <w:pStyle w:val="Compact"/>
              <w:jc w:val="left"/>
            </w:pPr>
            <w:r>
              <w:t xml:space="preserve">48 days</w:t>
            </w:r>
          </w:p>
        </w:tc>
        <w:tc>
          <w:tcPr/>
          <w:p>
            <w:pPr>
              <w:pStyle w:val="Compact"/>
              <w:jc w:val="left"/>
            </w:pPr>
            <w:r>
              <w:t xml:space="preserve">3,800.00</w:t>
            </w:r>
          </w:p>
        </w:tc>
        <w:tc>
          <w:tcPr/>
          <w:p>
            <w:pPr>
              <w:pStyle w:val="Compact"/>
              <w:jc w:val="left"/>
            </w:pPr>
            <w:r>
              <w:t xml:space="preserve">182,400.00</w:t>
            </w:r>
          </w:p>
        </w:tc>
      </w:tr>
      <w:tr>
        <w:tc>
          <w:tcPr/>
          <w:p>
            <w:pPr>
              <w:pStyle w:val="Compact"/>
              <w:jc w:val="left"/>
            </w:pPr>
            <w:r>
              <w:t xml:space="preserve">08</w:t>
            </w:r>
          </w:p>
        </w:tc>
        <w:tc>
          <w:tcPr/>
          <w:p>
            <w:pPr>
              <w:pStyle w:val="Compact"/>
              <w:jc w:val="left"/>
            </w:pPr>
            <w:r>
              <w:t xml:space="preserve">Travel, Accommodation &amp; Per Diem – Oceanographer team (Milan to coastal sites)</w:t>
            </w:r>
          </w:p>
        </w:tc>
        <w:tc>
          <w:tcPr/>
          <w:p>
            <w:pPr>
              <w:pStyle w:val="Compact"/>
              <w:jc w:val="left"/>
            </w:pPr>
            <w:r>
              <w:t xml:space="preserve">48 days</w:t>
            </w:r>
          </w:p>
        </w:tc>
        <w:tc>
          <w:tcPr/>
          <w:p>
            <w:pPr>
              <w:pStyle w:val="Compact"/>
              <w:jc w:val="left"/>
            </w:pPr>
            <w:r>
              <w:t xml:space="preserve">420.00</w:t>
            </w:r>
          </w:p>
        </w:tc>
        <w:tc>
          <w:tcPr/>
          <w:p>
            <w:pPr>
              <w:pStyle w:val="Compact"/>
              <w:jc w:val="left"/>
            </w:pPr>
            <w:r>
              <w:t xml:space="preserve">20,160.00</w:t>
            </w:r>
          </w:p>
        </w:tc>
      </w:tr>
      <w:tr>
        <w:tc>
          <w:tcPr/>
          <w:p>
            <w:pPr>
              <w:pStyle w:val="Compact"/>
              <w:jc w:val="left"/>
            </w:pPr>
            <w:r>
              <w:t xml:space="preserve">09</w:t>
            </w:r>
          </w:p>
        </w:tc>
        <w:tc>
          <w:tcPr/>
          <w:p>
            <w:pPr>
              <w:pStyle w:val="Compact"/>
              <w:jc w:val="left"/>
            </w:pPr>
            <w:r>
              <w:t xml:space="preserve">Laboratory Consumables &amp; Reagents (sediment, water chemistry)</w:t>
            </w:r>
          </w:p>
        </w:tc>
        <w:tc>
          <w:tcPr/>
          <w:p>
            <w:pPr>
              <w:pStyle w:val="Compact"/>
              <w:jc w:val="left"/>
            </w:pPr>
            <w:r>
              <w:t xml:space="preserve">12 months</w:t>
            </w:r>
          </w:p>
        </w:tc>
        <w:tc>
          <w:tcPr/>
          <w:p>
            <w:pPr>
              <w:pStyle w:val="Compact"/>
              <w:jc w:val="left"/>
            </w:pPr>
            <w:r>
              <w:t xml:space="preserve">9,500.00</w:t>
            </w:r>
          </w:p>
        </w:tc>
        <w:tc>
          <w:tcPr/>
          <w:p>
            <w:pPr>
              <w:pStyle w:val="Compact"/>
              <w:jc w:val="left"/>
            </w:pPr>
            <w:r>
              <w:t xml:space="preserve">114,000.00</w:t>
            </w:r>
          </w:p>
        </w:tc>
      </w:tr>
      <w:tr>
        <w:tc>
          <w:tcPr/>
          <w:p>
            <w:pPr>
              <w:pStyle w:val="Compact"/>
              <w:jc w:val="left"/>
            </w:pPr>
            <w:r>
              <w:t xml:space="preserve">10</w:t>
            </w:r>
          </w:p>
        </w:tc>
        <w:tc>
          <w:tcPr/>
          <w:p>
            <w:pPr>
              <w:pStyle w:val="Compact"/>
              <w:jc w:val="left"/>
            </w:pPr>
            <w:r>
              <w:t xml:space="preserve">Training Workshops in Milan (4 sessions, materials &amp; venue)</w:t>
            </w:r>
          </w:p>
        </w:tc>
        <w:tc>
          <w:tcPr/>
          <w:p>
            <w:pPr>
              <w:pStyle w:val="Compact"/>
              <w:jc w:val="left"/>
            </w:pPr>
            <w:r>
              <w:t xml:space="preserve">4 sessions</w:t>
            </w:r>
          </w:p>
        </w:tc>
        <w:tc>
          <w:tcPr/>
          <w:p>
            <w:pPr>
              <w:pStyle w:val="Compact"/>
              <w:jc w:val="left"/>
            </w:pPr>
            <w:r>
              <w:t xml:space="preserve">4,200.00</w:t>
            </w:r>
          </w:p>
        </w:tc>
        <w:tc>
          <w:tcPr/>
          <w:p>
            <w:pPr>
              <w:pStyle w:val="Compact"/>
              <w:jc w:val="left"/>
            </w:pPr>
            <w:r>
              <w:t xml:space="preserve">16,800.00</w:t>
            </w:r>
          </w:p>
        </w:tc>
      </w:tr>
      <w:tr>
        <w:tc>
          <w:tcPr/>
          <w:p>
            <w:pPr>
              <w:pStyle w:val="Compact"/>
              <w:jc w:val="left"/>
            </w:pPr>
            <w:r>
              <w:t xml:space="preserve">11</w:t>
            </w:r>
          </w:p>
        </w:tc>
        <w:tc>
          <w:tcPr/>
          <w:p>
            <w:pPr>
              <w:pStyle w:val="Compact"/>
              <w:jc w:val="left"/>
            </w:pPr>
            <w:r>
              <w:t xml:space="preserve">Project Management, Reporting &amp; Administrative Overhead (15%)</w:t>
            </w:r>
          </w:p>
        </w:tc>
        <w:tc>
          <w:tcPr/>
          <w:p>
            <w:pPr>
              <w:pStyle w:val="Compact"/>
              <w:jc w:val="left"/>
            </w:pPr>
            <w:r>
              <w:t xml:space="preserve">1 lot</w:t>
            </w:r>
          </w:p>
        </w:tc>
        <w:tc>
          <w:tcPr/>
          <w:p>
            <w:pPr>
              <w:pStyle w:val="Compact"/>
              <w:jc w:val="left"/>
            </w:pPr>
            <w:r>
              <w:t xml:space="preserve">—</w:t>
            </w:r>
          </w:p>
        </w:tc>
        <w:tc>
          <w:tcPr/>
          <w:p>
            <w:pPr>
              <w:pStyle w:val="Compact"/>
              <w:jc w:val="left"/>
            </w:pPr>
            <w:r>
              <w:t xml:space="preserve">109,176.00</w:t>
            </w:r>
          </w:p>
        </w:tc>
      </w:tr>
      <w:tr>
        <w:tc>
          <w:tcPr>
            <w:gridSpan w:val="4"/>
          </w:tcPr>
          <w:p>
            <w:pPr>
              <w:pStyle w:val="Compact"/>
              <w:jc w:val="right"/>
            </w:pPr>
            <w:r>
              <w:t xml:space="preserve">SUBTOTAL (before VAT)</w:t>
            </w:r>
          </w:p>
        </w:tc>
        <w:tc>
          <w:tcPr/>
          <w:p>
            <w:pPr>
              <w:pStyle w:val="Compact"/>
              <w:jc w:val="left"/>
            </w:pPr>
            <w:r>
              <w:t xml:space="preserve">1,024,436.00</w:t>
            </w:r>
          </w:p>
        </w:tc>
      </w:tr>
      <w:tr>
        <w:tc>
          <w:tcPr>
            <w:gridSpan w:val="4"/>
          </w:tcPr>
          <w:p>
            <w:pPr>
              <w:pStyle w:val="Compact"/>
              <w:jc w:val="right"/>
            </w:pPr>
            <w:r>
              <w:t xml:space="preserve">VAT (22% – Italy Milan jurisdiction)</w:t>
            </w:r>
          </w:p>
        </w:tc>
        <w:tc>
          <w:tcPr/>
          <w:p>
            <w:pPr>
              <w:pStyle w:val="Compact"/>
              <w:jc w:val="left"/>
            </w:pPr>
            <w:r>
              <w:t xml:space="preserve">225,375.92</w:t>
            </w:r>
          </w:p>
        </w:tc>
      </w:tr>
      <w:tr>
        <w:tc>
          <w:tcPr>
            <w:gridSpan w:val="4"/>
          </w:tcPr>
          <w:p>
            <w:pPr>
              <w:pStyle w:val="Compact"/>
              <w:jc w:val="right"/>
            </w:pPr>
            <w:r>
              <w:t xml:space="preserve">GRAND TOTAL (EUR)</w:t>
            </w:r>
          </w:p>
        </w:tc>
        <w:tc>
          <w:tcPr/>
          <w:p>
            <w:pPr>
              <w:pStyle w:val="Compact"/>
              <w:jc w:val="left"/>
            </w:pPr>
            <w:r>
              <w:t xml:space="preserve">1,249,811.92</w:t>
            </w:r>
          </w:p>
        </w:tc>
      </w:tr>
    </w:tbl>
    <w:bookmarkEnd w:id="23"/>
    <w:bookmarkStart w:id="24" w:name="payment-terms-schedule"/>
    <w:p>
      <w:pPr>
        <w:pStyle w:val="Heading2"/>
      </w:pPr>
      <w:r>
        <w:t xml:space="preserve">4. Payment Terms &amp; Schedule</w:t>
      </w:r>
    </w:p>
    <w:p>
      <w:pPr>
        <w:pStyle w:val="FirstParagraph"/>
      </w:pPr>
      <w:r>
        <w:t xml:space="preserve">This</w:t>
      </w:r>
      <w:r>
        <w:t xml:space="preserve"> </w:t>
      </w:r>
      <w:r>
        <w:t xml:space="preserve">Quotation Estimate</w:t>
      </w:r>
      <w:r>
        <w:t xml:space="preserve"> </w:t>
      </w:r>
      <w:r>
        <w:t xml:space="preserve">is structured with the following payment milestones, all processed through the client's accounts department in</w:t>
      </w:r>
      <w:r>
        <w:t xml:space="preserve"> </w:t>
      </w:r>
      <w:r>
        <w:t xml:space="preserve">Italy Milan</w:t>
      </w:r>
      <w:r>
        <w:t xml:space="preserve">:</w:t>
      </w:r>
    </w:p>
    <w:p>
      <w:pPr>
        <w:numPr>
          <w:ilvl w:val="0"/>
          <w:numId w:val="1002"/>
        </w:numPr>
        <w:pStyle w:val="Compact"/>
      </w:pPr>
      <w:r>
        <w:rPr>
          <w:bCs/>
          <w:b/>
        </w:rPr>
        <w:t xml:space="preserve">30% advance payment</w:t>
      </w:r>
      <w:r>
        <w:t xml:space="preserve"> </w:t>
      </w:r>
      <w:r>
        <w:t xml:space="preserve">upon contract signature and project commencement: EUR 374,943.58</w:t>
      </w:r>
    </w:p>
    <w:p>
      <w:pPr>
        <w:numPr>
          <w:ilvl w:val="0"/>
          <w:numId w:val="1002"/>
        </w:numPr>
        <w:pStyle w:val="Compact"/>
      </w:pPr>
      <w:r>
        <w:rPr>
          <w:bCs/>
          <w:b/>
        </w:rPr>
        <w:t xml:space="preserve">25% upon completion of Field Campaign Phase 1</w:t>
      </w:r>
      <w:r>
        <w:t xml:space="preserve"> </w:t>
      </w:r>
      <w:r>
        <w:t xml:space="preserve">(months 3–4): EUR 312,452.98</w:t>
      </w:r>
    </w:p>
    <w:p>
      <w:pPr>
        <w:numPr>
          <w:ilvl w:val="0"/>
          <w:numId w:val="1002"/>
        </w:numPr>
        <w:pStyle w:val="Compact"/>
      </w:pPr>
      <w:r>
        <w:rPr>
          <w:bCs/>
          <w:b/>
        </w:rPr>
        <w:t xml:space="preserve">25% upon completion of Field Campaign Phase 2</w:t>
      </w:r>
      <w:r>
        <w:t xml:space="preserve"> </w:t>
      </w:r>
      <w:r>
        <w:t xml:space="preserve">(months 7–8): EUR 312,452.98</w:t>
      </w:r>
    </w:p>
    <w:p>
      <w:pPr>
        <w:numPr>
          <w:ilvl w:val="0"/>
          <w:numId w:val="1002"/>
        </w:numPr>
        <w:pStyle w:val="Compact"/>
      </w:pPr>
      <w:r>
        <w:rPr>
          <w:bCs/>
          <w:b/>
        </w:rPr>
        <w:t xml:space="preserve">20% upon delivery of final technical report and software package</w:t>
      </w:r>
      <w:r>
        <w:t xml:space="preserve"> </w:t>
      </w:r>
      <w:r>
        <w:t xml:space="preserve">(month 12): EUR 249,962.38</w:t>
      </w:r>
    </w:p>
    <w:p>
      <w:pPr>
        <w:pStyle w:val="FirstParagraph"/>
      </w:pPr>
      <w:r>
        <w:t xml:space="preserve">All payments shall be made via bank transfer to the account specified in the contract annex. Late payments shall incur interest at the rate of 1.5% per month, in accordance with Italian commercial law applicable in Milan.</w:t>
      </w:r>
    </w:p>
    <w:bookmarkEnd w:id="24"/>
    <w:bookmarkStart w:id="25" w:name="terms-conditions"/>
    <w:p>
      <w:pPr>
        <w:pStyle w:val="Heading2"/>
      </w:pPr>
      <w:r>
        <w:t xml:space="preserve">5. Terms &amp; Conditions</w:t>
      </w:r>
    </w:p>
    <w:p>
      <w:pPr>
        <w:pStyle w:val="FirstParagraph"/>
      </w:pPr>
      <w:r>
        <w:rPr>
          <w:bCs/>
          <w:b/>
        </w:rPr>
        <w:t xml:space="preserve">Validity:</w:t>
      </w:r>
      <w:r>
        <w:t xml:space="preserve"> </w:t>
      </w:r>
      <w:r>
        <w:t xml:space="preserve">This Quotation Estimate remains valid for 90 calendar days from the date of issue. Beyond this period, pricing may be revised to reflect changes in equipment costs, currency fluctuations, or availability of the Oceanographer team.</w:t>
      </w:r>
    </w:p>
    <w:p>
      <w:pPr>
        <w:pStyle w:val="BodyText"/>
      </w:pPr>
      <w:r>
        <w:rPr>
          <w:bCs/>
          <w:b/>
        </w:rPr>
        <w:t xml:space="preserve">Compliance:</w:t>
      </w:r>
      <w:r>
        <w:t xml:space="preserve"> </w:t>
      </w:r>
      <w:r>
        <w:t xml:space="preserve">All oceanographic fieldwork shall comply with the regulations of the Italian Ministry of Environment, the Regional Authority of Lombardy (Milan jurisdiction), and applicable EU marine environmental directives (Directive 2008/56/EC – Marine Strategy Framework Directive).</w:t>
      </w:r>
    </w:p>
    <w:p>
      <w:pPr>
        <w:pStyle w:val="BodyText"/>
      </w:pPr>
      <w:r>
        <w:rPr>
          <w:bCs/>
          <w:b/>
        </w:rPr>
        <w:t xml:space="preserve">Intellectual Property:</w:t>
      </w:r>
      <w:r>
        <w:t xml:space="preserve"> </w:t>
      </w:r>
      <w:r>
        <w:t xml:space="preserve">All data, models, and reports generated under this engagement shall be the exclusive property of the client in Milan, Italy. The Oceanographer team retains the right to use anonymised data for academic publication with prior written consent.</w:t>
      </w:r>
    </w:p>
    <w:p>
      <w:pPr>
        <w:pStyle w:val="BodyText"/>
      </w:pPr>
      <w:r>
        <w:rPr>
          <w:bCs/>
          <w:b/>
        </w:rPr>
        <w:t xml:space="preserve">Force Majeure:</w:t>
      </w:r>
      <w:r>
        <w:t xml:space="preserve"> </w:t>
      </w:r>
      <w:r>
        <w:t xml:space="preserve">Neither party shall be liable for delays caused by adverse weather conditions affecting Mediterranean field operations, port closures, or government-mandated restrictions within Italy.</w:t>
      </w:r>
    </w:p>
    <w:p>
      <w:pPr>
        <w:pStyle w:val="BodyText"/>
      </w:pPr>
      <w:r>
        <w:rPr>
          <w:bCs/>
          <w:b/>
        </w:rPr>
        <w:t xml:space="preserve">Governing Law:</w:t>
      </w:r>
      <w:r>
        <w:t xml:space="preserve"> </w:t>
      </w:r>
      <w:r>
        <w:t xml:space="preserve">This Quotation Estimate and any resulting contract shall be governed by the laws of the Italian Republic, with jurisdiction vested in the courts of Milan, Lombardy.</w:t>
      </w:r>
    </w:p>
    <w:bookmarkEnd w:id="25"/>
    <w:bookmarkStart w:id="26" w:name="acceptance-authorisation"/>
    <w:p>
      <w:pPr>
        <w:pStyle w:val="Heading2"/>
      </w:pPr>
      <w:r>
        <w:t xml:space="preserve">6. Acceptance &amp; Authorisation</w:t>
      </w:r>
    </w:p>
    <w:p>
      <w:pPr>
        <w:pStyle w:val="FirstParagraph"/>
      </w:pPr>
      <w:r>
        <w:t xml:space="preserve">By signing below, the client acknowledges receipt of this</w:t>
      </w:r>
      <w:r>
        <w:t xml:space="preserve"> </w:t>
      </w:r>
      <w:r>
        <w:t xml:space="preserve">Quotation Estimate</w:t>
      </w:r>
      <w:r>
        <w:t xml:space="preserve"> </w:t>
      </w:r>
      <w:r>
        <w:t xml:space="preserve">and authorises the commencement of the</w:t>
      </w:r>
      <w:r>
        <w:t xml:space="preserve"> </w:t>
      </w:r>
      <w:r>
        <w:t xml:space="preserve">Oceanographer</w:t>
      </w:r>
      <w:r>
        <w:t xml:space="preserve"> </w:t>
      </w:r>
      <w:r>
        <w:t xml:space="preserve">engagement as described herein, with all operational and administrative activities centred in</w:t>
      </w:r>
      <w:r>
        <w:t xml:space="preserve"> </w:t>
      </w:r>
      <w:r>
        <w:t xml:space="preserve">Italy Milan</w:t>
      </w:r>
      <w:r>
        <w:t xml:space="preserve">.</w:t>
      </w:r>
    </w:p>
    <w:p>
      <w:pPr>
        <w:pStyle w:val="BodyText"/>
      </w:pPr>
      <w:r>
        <w:t xml:space="preserve">For the Provider:</w:t>
      </w:r>
    </w:p>
    <w:p>
      <w:pPr>
        <w:pStyle w:val="BodyText"/>
      </w:pPr>
      <w:r>
        <w:t xml:space="preserve">Dr. Elena Marchetti</w:t>
      </w:r>
      <w:r>
        <w:br/>
      </w:r>
      <w:r>
        <w:t xml:space="preserve">Senior Oceanographer &amp; Project Director</w:t>
      </w:r>
      <w:r>
        <w:br/>
      </w:r>
      <w:r>
        <w:t xml:space="preserve">Marine Research Solutions S.r.l.</w:t>
      </w:r>
    </w:p>
    <w:p>
      <w:pPr>
        <w:pStyle w:val="BodyText"/>
      </w:pPr>
      <w:r>
        <w:t xml:space="preserve">Signature &amp; Date</w:t>
      </w:r>
    </w:p>
    <w:p>
      <w:pPr>
        <w:pStyle w:val="BodyText"/>
      </w:pPr>
      <w:r>
        <w:t xml:space="preserve">For the Client (Italy Milan):</w:t>
      </w:r>
    </w:p>
    <w:p>
      <w:pPr>
        <w:pStyle w:val="BodyText"/>
      </w:pPr>
      <w:r>
        <w:t xml:space="preserve">Authorised Representative</w:t>
      </w:r>
      <w:r>
        <w:br/>
      </w:r>
      <w:r>
        <w:t xml:space="preserve">Polytechnic Institute of Marine Sciences</w:t>
      </w:r>
      <w:r>
        <w:br/>
      </w:r>
      <w:r>
        <w:t xml:space="preserve">Via Bramante 52, 20156 Milan, Italy</w:t>
      </w:r>
    </w:p>
    <w:p>
      <w:pPr>
        <w:pStyle w:val="BodyText"/>
      </w:pPr>
      <w:r>
        <w:t xml:space="preserve">Signature &amp; Date</w:t>
      </w:r>
    </w:p>
    <w:p>
      <w:pPr>
        <w:pStyle w:val="BodyText"/>
      </w:pPr>
      <w:r>
        <w:t xml:space="preserve">Quotation Estimate QTE-2025-OM-0472 | Oceanographer Services | Italy Milan | Page 1 of 1</w:t>
      </w:r>
    </w:p>
    <w:p>
      <w:pPr>
        <w:pStyle w:val="BodyText"/>
      </w:pPr>
      <w:r>
        <w:t xml:space="preserve">This document is confidential and intended solely for the named recipient. Unauthorised reproduction or distribution is prohibited.</w:t>
      </w:r>
    </w:p>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Quotation Estimate - Oceanographer Services - Italy Milan</dc:title>
  <dc:creator/>
  <dc:language>en</dc:language>
  <cp:keywords/>
  <dcterms:created xsi:type="dcterms:W3CDTF">2026-10-10T05:47:30Z</dcterms:created>
  <dcterms:modified xsi:type="dcterms:W3CDTF">2026-10-10T05:47:30Z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