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quotation-estimate"/>
    <w:p>
      <w:pPr>
        <w:pStyle w:val="Heading1"/>
      </w:pPr>
      <w:r>
        <w:t xml:space="preserve">Quotation Estimate</w:t>
      </w:r>
    </w:p>
    <w:p>
      <w:pPr>
        <w:pStyle w:val="FirstParagraph"/>
      </w:pPr>
      <w:r>
        <w:t xml:space="preserve">Professional Oceanographer Services for Marine Research &amp; Environmental Assessment</w:t>
      </w:r>
    </w:p>
    <w:p>
      <w:pPr>
        <w:pStyle w:val="BodyText"/>
      </w:pPr>
      <w:r>
        <w:t xml:space="preserve">Red Sea Coastal Zone — Saudi Arabia Jeddah</w:t>
      </w:r>
    </w:p>
    <w:p>
      <w:pPr>
        <w:pStyle w:val="BodyText"/>
      </w:pPr>
      <w:r>
        <w:t xml:space="preserve">Document Ref: QE-OCE-2025-0472 | Classification: Commercial in Confidence</w:t>
      </w:r>
    </w:p>
    <w:bookmarkEnd w:id="20"/>
    <w:p>
      <w:pPr>
        <w:pStyle w:val="BodyText"/>
      </w:pPr>
      <w:r>
        <w:rPr>
          <w:bCs/>
          <w:b/>
        </w:rPr>
        <w:t xml:space="preserve">Quotation Date: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Prepared For:</w:t>
      </w:r>
      <w:r>
        <w:t xml:space="preserve"> </w:t>
      </w:r>
      <w:r>
        <w:t xml:space="preserve">Saudi Arabian General Investment Authority (SAGIA) — Jeddah Office</w:t>
      </w:r>
    </w:p>
    <w:p>
      <w:pPr>
        <w:pStyle w:val="BodyText"/>
      </w:pPr>
      <w:r>
        <w:rPr>
          <w:bCs/>
          <w:b/>
        </w:rPr>
        <w:t xml:space="preserve">Prepared By:</w:t>
      </w:r>
      <w:r>
        <w:t xml:space="preserve"> </w:t>
      </w:r>
      <w:r>
        <w:t xml:space="preserve">Gulf Marine Sciences Consultancy LLC</w:t>
      </w:r>
    </w:p>
    <w:bookmarkStart w:id="21" w:name="Xe532c59dfae952c7b294537f0870e379934ad70"/>
    <w:p>
      <w:pPr>
        <w:pStyle w:val="Heading2"/>
      </w:pPr>
      <w:r>
        <w:t xml:space="preserve">1. Introduction &amp; Purpose of This Quotation Estimate</w:t>
      </w:r>
    </w:p>
    <w:p>
      <w:pPr>
        <w:pStyle w:val="FirstParagraph"/>
      </w:pPr>
      <w:r>
        <w:t xml:space="preserve">This</w:t>
      </w:r>
      <w:r>
        <w:t xml:space="preserve"> </w:t>
      </w:r>
      <w:r>
        <w:t xml:space="preserve">Quotation Estimate</w:t>
      </w:r>
      <w:r>
        <w:t xml:space="preserve"> </w:t>
      </w:r>
      <w:r>
        <w:t xml:space="preserve">is issued by Gulf Marine Sciences Consultancy LLC in response to the formal request for professional services from the client, situated in</w:t>
      </w:r>
      <w:r>
        <w:t xml:space="preserve"> </w:t>
      </w:r>
      <w:r>
        <w:t xml:space="preserve">Saudi Arabia Jeddah</w:t>
      </w:r>
      <w:r>
        <w:t xml:space="preserve">. The purpose of this document is to provide a comprehensive, itemized financial proposal for the engagement of a qualified</w:t>
      </w:r>
      <w:r>
        <w:t xml:space="preserve"> </w:t>
      </w:r>
      <w:r>
        <w:t xml:space="preserve">Oceanographer</w:t>
      </w:r>
      <w:r>
        <w:t xml:space="preserve"> </w:t>
      </w:r>
      <w:r>
        <w:t xml:space="preserve">to conduct marine environmental surveys, hydrographic assessments, and coastal ecosystem evaluations along the Red Sea coastline adjacent to the city of Jeddah. This</w:t>
      </w:r>
      <w:r>
        <w:t xml:space="preserve"> </w:t>
      </w:r>
      <w:r>
        <w:t xml:space="preserve">Quotation Estimate</w:t>
      </w:r>
      <w:r>
        <w:t xml:space="preserve"> </w:t>
      </w:r>
      <w:r>
        <w:t xml:space="preserve">covers all labor, equipment, travel, and reporting costs associated with the proposed scope of work.</w:t>
      </w:r>
    </w:p>
    <w:bookmarkEnd w:id="21"/>
    <w:bookmarkStart w:id="22" w:name="Xe5ffc6ebd9c7d8effc2a4ec2ae5a1f045881afa"/>
    <w:p>
      <w:pPr>
        <w:pStyle w:val="Heading2"/>
      </w:pPr>
      <w:r>
        <w:t xml:space="preserve">2. Scope of Work — Oceanographer Services in Saudi Arabia Jeddah</w:t>
      </w:r>
    </w:p>
    <w:p>
      <w:pPr>
        <w:pStyle w:val="FirstParagraph"/>
      </w:pPr>
      <w:r>
        <w:t xml:space="preserve">The</w:t>
      </w:r>
      <w:r>
        <w:t xml:space="preserve"> </w:t>
      </w:r>
      <w:r>
        <w:t xml:space="preserve">Oceanographer</w:t>
      </w:r>
      <w:r>
        <w:t xml:space="preserve"> </w:t>
      </w:r>
      <w:r>
        <w:t xml:space="preserve">engaged under this</w:t>
      </w:r>
      <w:r>
        <w:t xml:space="preserve"> </w:t>
      </w:r>
      <w:r>
        <w:t xml:space="preserve">Quotation Estimate</w:t>
      </w:r>
      <w:r>
        <w:t xml:space="preserve"> </w:t>
      </w:r>
      <w:r>
        <w:t xml:space="preserve">shall perform the following duties within the maritime jurisdiction of</w:t>
      </w:r>
      <w:r>
        <w:t xml:space="preserve"> </w:t>
      </w:r>
      <w:r>
        <w:t xml:space="preserve">Saudi Arabia Jeddah</w:t>
      </w:r>
      <w:r>
        <w:t xml:space="preserve">, including the Jeddah Corniche, the Red Sea coastal stretch from Al Shati to Al Hamra, and the offshore waters extending to a depth of 200 meters:</w:t>
      </w:r>
    </w:p>
    <w:p>
      <w:pPr>
        <w:numPr>
          <w:ilvl w:val="0"/>
          <w:numId w:val="1001"/>
        </w:numPr>
        <w:pStyle w:val="Compact"/>
      </w:pPr>
      <w:r>
        <w:rPr>
          <w:bCs/>
          <w:b/>
        </w:rPr>
        <w:t xml:space="preserve">Hydrographic Survey:</w:t>
      </w:r>
      <w:r>
        <w:t xml:space="preserve"> </w:t>
      </w:r>
      <w:r>
        <w:t xml:space="preserve">Bathymetric mapping and current velocity profiling across a 12-kilometer coastal corridor in Jeddah, utilizing multibeam echosounder technology and ADCP (Acoustic Doppler Current Profiler) instruments.</w:t>
      </w:r>
    </w:p>
    <w:p>
      <w:pPr>
        <w:numPr>
          <w:ilvl w:val="0"/>
          <w:numId w:val="1001"/>
        </w:numPr>
        <w:pStyle w:val="Compact"/>
      </w:pPr>
      <w:r>
        <w:rPr>
          <w:bCs/>
          <w:b/>
        </w:rPr>
        <w:t xml:space="preserve">Water Quality Assessment:</w:t>
      </w:r>
      <w:r>
        <w:t xml:space="preserve"> </w:t>
      </w:r>
      <w:r>
        <w:t xml:space="preserve">Collection and laboratory analysis of 45 discrete water samples for parameters including salinity, dissolved oxygen, pH, turbidity, heavy metals, and hydrocarbon content, in compliance with Saudi Environmental, Water and Wildlife Authority (EWWA) standards.</w:t>
      </w:r>
    </w:p>
    <w:p>
      <w:pPr>
        <w:numPr>
          <w:ilvl w:val="0"/>
          <w:numId w:val="1001"/>
        </w:numPr>
        <w:pStyle w:val="Compact"/>
      </w:pPr>
      <w:r>
        <w:rPr>
          <w:bCs/>
          <w:b/>
        </w:rPr>
        <w:t xml:space="preserve">Marine Biodiversity Survey:</w:t>
      </w:r>
      <w:r>
        <w:t xml:space="preserve"> </w:t>
      </w:r>
      <w:r>
        <w:t xml:space="preserve">Visual census and transect-based assessment of coral reef health, seagrass meadow coverage, and benthic invertebrate populations along the Jeddah shoreline.</w:t>
      </w:r>
    </w:p>
    <w:p>
      <w:pPr>
        <w:numPr>
          <w:ilvl w:val="0"/>
          <w:numId w:val="1001"/>
        </w:numPr>
        <w:pStyle w:val="Compact"/>
      </w:pPr>
      <w:r>
        <w:rPr>
          <w:bCs/>
          <w:b/>
        </w:rPr>
        <w:t xml:space="preserve">Coastal Erosion &amp; Sediment Analysis:</w:t>
      </w:r>
      <w:r>
        <w:t xml:space="preserve"> </w:t>
      </w:r>
      <w:r>
        <w:t xml:space="preserve">Quantification of sediment transport rates and identification of erosion hotspots along the Jeddah Corniche, with recommendations for coastal protection infrastructure.</w:t>
      </w:r>
    </w:p>
    <w:p>
      <w:pPr>
        <w:numPr>
          <w:ilvl w:val="0"/>
          <w:numId w:val="1001"/>
        </w:numPr>
        <w:pStyle w:val="Compact"/>
      </w:pPr>
      <w:r>
        <w:rPr>
          <w:bCs/>
          <w:b/>
        </w:rPr>
        <w:t xml:space="preserve">Climate Impact Modeling:</w:t>
      </w:r>
      <w:r>
        <w:t xml:space="preserve"> </w:t>
      </w:r>
      <w:r>
        <w:t xml:space="preserve">Development of a predictive model for sea-level rise scenarios specific to the Jeddah coastline over 10, 25, and 50-year horizons, aligned with Saudi Vision 2030 sustainability targets.</w:t>
      </w:r>
    </w:p>
    <w:p>
      <w:pPr>
        <w:numPr>
          <w:ilvl w:val="0"/>
          <w:numId w:val="1001"/>
        </w:numPr>
        <w:pStyle w:val="Compact"/>
      </w:pPr>
      <w:r>
        <w:rPr>
          <w:bCs/>
          <w:b/>
        </w:rPr>
        <w:t xml:space="preserve">Final Technical Report:</w:t>
      </w:r>
      <w:r>
        <w:t xml:space="preserve"> </w:t>
      </w:r>
      <w:r>
        <w:t xml:space="preserve">Compilation of all findings into a 200-page comprehensive report in both Arabic and English, including GIS maps, data appendices, and actionable recommendations for municipal planning authorities in Saudi Arabia Jeddah.</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Duration / Qty</w:t>
            </w:r>
          </w:p>
        </w:tc>
        <w:tc>
          <w:tcPr/>
          <w:p>
            <w:pPr>
              <w:pStyle w:val="Compact"/>
              <w:jc w:val="left"/>
            </w:pPr>
            <w:r>
              <w:t xml:space="preserve">Unit Cost (SAR)</w:t>
            </w:r>
          </w:p>
        </w:tc>
        <w:tc>
          <w:tcPr/>
          <w:p>
            <w:pPr>
              <w:pStyle w:val="Compact"/>
              <w:jc w:val="left"/>
            </w:pPr>
            <w:r>
              <w:t xml:space="preserve">Total (SAR)</w:t>
            </w:r>
          </w:p>
        </w:tc>
      </w:tr>
      <w:tr>
        <w:tc>
          <w:tcPr/>
          <w:p>
            <w:pPr>
              <w:pStyle w:val="Compact"/>
              <w:jc w:val="left"/>
            </w:pPr>
            <w:r>
              <w:t xml:space="preserve">01</w:t>
            </w:r>
          </w:p>
        </w:tc>
        <w:tc>
          <w:tcPr/>
          <w:p>
            <w:pPr>
              <w:pStyle w:val="Compact"/>
              <w:jc w:val="left"/>
            </w:pPr>
            <w:r>
              <w:t xml:space="preserve">Senior Oceanographer Professional Fee (PhD in Oceanography, 15+ years experience)</w:t>
            </w:r>
          </w:p>
        </w:tc>
        <w:tc>
          <w:tcPr/>
          <w:p>
            <w:pPr>
              <w:pStyle w:val="Compact"/>
              <w:jc w:val="left"/>
            </w:pPr>
            <w:r>
              <w:t xml:space="preserve">120 days</w:t>
            </w:r>
          </w:p>
        </w:tc>
        <w:tc>
          <w:tcPr/>
          <w:p>
            <w:pPr>
              <w:pStyle w:val="Compact"/>
              <w:jc w:val="left"/>
            </w:pPr>
            <w:r>
              <w:t xml:space="preserve">4,500</w:t>
            </w:r>
          </w:p>
        </w:tc>
        <w:tc>
          <w:tcPr/>
          <w:p>
            <w:pPr>
              <w:pStyle w:val="Compact"/>
              <w:jc w:val="left"/>
            </w:pPr>
            <w:r>
              <w:t xml:space="preserve">540,000</w:t>
            </w:r>
          </w:p>
        </w:tc>
      </w:tr>
      <w:tr>
        <w:tc>
          <w:tcPr/>
          <w:p>
            <w:pPr>
              <w:pStyle w:val="Compact"/>
              <w:jc w:val="left"/>
            </w:pPr>
            <w:r>
              <w:t xml:space="preserve">02</w:t>
            </w:r>
          </w:p>
        </w:tc>
        <w:tc>
          <w:tcPr/>
          <w:p>
            <w:pPr>
              <w:pStyle w:val="Compact"/>
              <w:jc w:val="left"/>
            </w:pPr>
            <w:r>
              <w:t xml:space="preserve">Junior Oceanographer / Research Assistant</w:t>
            </w:r>
          </w:p>
        </w:tc>
        <w:tc>
          <w:tcPr/>
          <w:p>
            <w:pPr>
              <w:pStyle w:val="Compact"/>
              <w:jc w:val="left"/>
            </w:pPr>
            <w:r>
              <w:t xml:space="preserve">120 days</w:t>
            </w:r>
          </w:p>
        </w:tc>
        <w:tc>
          <w:tcPr/>
          <w:p>
            <w:pPr>
              <w:pStyle w:val="Compact"/>
              <w:jc w:val="left"/>
            </w:pPr>
            <w:r>
              <w:t xml:space="preserve">2,200</w:t>
            </w:r>
          </w:p>
        </w:tc>
        <w:tc>
          <w:tcPr/>
          <w:p>
            <w:pPr>
              <w:pStyle w:val="Compact"/>
              <w:jc w:val="left"/>
            </w:pPr>
            <w:r>
              <w:t xml:space="preserve">264,000</w:t>
            </w:r>
          </w:p>
        </w:tc>
      </w:tr>
      <w:tr>
        <w:tc>
          <w:tcPr/>
          <w:p>
            <w:pPr>
              <w:pStyle w:val="Compact"/>
              <w:jc w:val="left"/>
            </w:pPr>
            <w:r>
              <w:t xml:space="preserve">03</w:t>
            </w:r>
          </w:p>
        </w:tc>
        <w:tc>
          <w:tcPr/>
          <w:p>
            <w:pPr>
              <w:pStyle w:val="Compact"/>
              <w:jc w:val="left"/>
            </w:pPr>
            <w:r>
              <w:t xml:space="preserve">Charter of Research Vessel (35m, equipped for Red Sea operations) — Jeddah Port</w:t>
            </w:r>
          </w:p>
        </w:tc>
        <w:tc>
          <w:tcPr/>
          <w:p>
            <w:pPr>
              <w:pStyle w:val="Compact"/>
              <w:jc w:val="left"/>
            </w:pPr>
            <w:r>
              <w:t xml:space="preserve">45 days</w:t>
            </w:r>
          </w:p>
        </w:tc>
        <w:tc>
          <w:tcPr/>
          <w:p>
            <w:pPr>
              <w:pStyle w:val="Compact"/>
              <w:jc w:val="left"/>
            </w:pPr>
            <w:r>
              <w:t xml:space="preserve">18,000</w:t>
            </w:r>
          </w:p>
        </w:tc>
        <w:tc>
          <w:tcPr/>
          <w:p>
            <w:pPr>
              <w:pStyle w:val="Compact"/>
              <w:jc w:val="left"/>
            </w:pPr>
            <w:r>
              <w:t xml:space="preserve">810,000</w:t>
            </w:r>
          </w:p>
        </w:tc>
      </w:tr>
      <w:tr>
        <w:tc>
          <w:tcPr/>
          <w:p>
            <w:pPr>
              <w:pStyle w:val="Compact"/>
              <w:jc w:val="left"/>
            </w:pPr>
            <w:r>
              <w:t xml:space="preserve">04</w:t>
            </w:r>
          </w:p>
        </w:tc>
        <w:tc>
          <w:tcPr/>
          <w:p>
            <w:pPr>
              <w:pStyle w:val="Compact"/>
              <w:jc w:val="left"/>
            </w:pPr>
            <w:r>
              <w:t xml:space="preserve">Hydrographic &amp; Water Quality Equipment Rental (Multibeam, ADCP, CTD, Niskin bottles)</w:t>
            </w:r>
          </w:p>
        </w:tc>
        <w:tc>
          <w:tcPr/>
          <w:p>
            <w:pPr>
              <w:pStyle w:val="Compact"/>
              <w:jc w:val="left"/>
            </w:pPr>
            <w:r>
              <w:t xml:space="preserve">120 days</w:t>
            </w:r>
          </w:p>
        </w:tc>
        <w:tc>
          <w:tcPr/>
          <w:p>
            <w:pPr>
              <w:pStyle w:val="Compact"/>
              <w:jc w:val="left"/>
            </w:pPr>
            <w:r>
              <w:t xml:space="preserve">3,800</w:t>
            </w:r>
          </w:p>
        </w:tc>
        <w:tc>
          <w:tcPr/>
          <w:p>
            <w:pPr>
              <w:pStyle w:val="Compact"/>
              <w:jc w:val="left"/>
            </w:pPr>
            <w:r>
              <w:t xml:space="preserve">456,000</w:t>
            </w:r>
          </w:p>
        </w:tc>
      </w:tr>
      <w:tr>
        <w:tc>
          <w:tcPr/>
          <w:p>
            <w:pPr>
              <w:pStyle w:val="Compact"/>
              <w:jc w:val="left"/>
            </w:pPr>
            <w:r>
              <w:t xml:space="preserve">05</w:t>
            </w:r>
          </w:p>
        </w:tc>
        <w:tc>
          <w:tcPr/>
          <w:p>
            <w:pPr>
              <w:pStyle w:val="Compact"/>
              <w:jc w:val="left"/>
            </w:pPr>
            <w:r>
              <w:t xml:space="preserve">Laboratory Analysis — 45 water samples (full panel per EWWA protocol)</w:t>
            </w:r>
          </w:p>
        </w:tc>
        <w:tc>
          <w:tcPr/>
          <w:p>
            <w:pPr>
              <w:pStyle w:val="Compact"/>
              <w:jc w:val="left"/>
            </w:pPr>
            <w:r>
              <w:t xml:space="preserve">45 samples</w:t>
            </w:r>
          </w:p>
        </w:tc>
        <w:tc>
          <w:tcPr/>
          <w:p>
            <w:pPr>
              <w:pStyle w:val="Compact"/>
              <w:jc w:val="left"/>
            </w:pPr>
            <w:r>
              <w:t xml:space="preserve">3,200</w:t>
            </w:r>
          </w:p>
        </w:tc>
        <w:tc>
          <w:tcPr/>
          <w:p>
            <w:pPr>
              <w:pStyle w:val="Compact"/>
              <w:jc w:val="left"/>
            </w:pPr>
            <w:r>
              <w:t xml:space="preserve">144,000</w:t>
            </w:r>
          </w:p>
        </w:tc>
      </w:tr>
      <w:tr>
        <w:tc>
          <w:tcPr/>
          <w:p>
            <w:pPr>
              <w:pStyle w:val="Compact"/>
              <w:jc w:val="left"/>
            </w:pPr>
            <w:r>
              <w:t xml:space="preserve">06</w:t>
            </w:r>
          </w:p>
        </w:tc>
        <w:tc>
          <w:tcPr/>
          <w:p>
            <w:pPr>
              <w:pStyle w:val="Compact"/>
              <w:jc w:val="left"/>
            </w:pPr>
            <w:r>
              <w:t xml:space="preserve">GIS Mapping &amp; Remote Sensing Data Processing</w:t>
            </w:r>
          </w:p>
        </w:tc>
        <w:tc>
          <w:tcPr/>
          <w:p>
            <w:pPr>
              <w:pStyle w:val="Compact"/>
              <w:jc w:val="left"/>
            </w:pPr>
            <w:r>
              <w:t xml:space="preserve">1 lot</w:t>
            </w:r>
          </w:p>
        </w:tc>
        <w:tc>
          <w:tcPr/>
          <w:p>
            <w:pPr>
              <w:pStyle w:val="Compact"/>
              <w:jc w:val="left"/>
            </w:pPr>
            <w:r>
              <w:t xml:space="preserve">1</w:t>
            </w:r>
          </w:p>
        </w:tc>
        <w:tc>
          <w:tcPr/>
          <w:p>
            <w:pPr>
              <w:pStyle w:val="Compact"/>
              <w:jc w:val="left"/>
            </w:pPr>
            <w:r>
              <w:t xml:space="preserve">125,000</w:t>
            </w:r>
          </w:p>
        </w:tc>
      </w:tr>
      <w:tr>
        <w:tc>
          <w:tcPr/>
          <w:p>
            <w:pPr>
              <w:pStyle w:val="Compact"/>
              <w:jc w:val="left"/>
            </w:pPr>
            <w:r>
              <w:t xml:space="preserve">07</w:t>
            </w:r>
          </w:p>
        </w:tc>
        <w:tc>
          <w:tcPr/>
          <w:p>
            <w:pPr>
              <w:pStyle w:val="Compact"/>
              <w:jc w:val="left"/>
            </w:pPr>
            <w:r>
              <w:t xml:space="preserve">Climate Impact Modeling &amp; Scenario Development</w:t>
            </w:r>
          </w:p>
        </w:tc>
        <w:tc>
          <w:tcPr/>
          <w:p>
            <w:pPr>
              <w:pStyle w:val="Compact"/>
              <w:jc w:val="left"/>
            </w:pPr>
            <w:r>
              <w:t xml:space="preserve">1 lot</w:t>
            </w:r>
          </w:p>
        </w:tc>
        <w:tc>
          <w:tcPr/>
          <w:p>
            <w:pPr>
              <w:pStyle w:val="Compact"/>
              <w:jc w:val="left"/>
            </w:pPr>
            <w:r>
              <w:t xml:space="preserve">1</w:t>
            </w:r>
          </w:p>
        </w:tc>
        <w:tc>
          <w:tcPr/>
          <w:p>
            <w:pPr>
              <w:pStyle w:val="Compact"/>
              <w:jc w:val="left"/>
            </w:pPr>
            <w:r>
              <w:t xml:space="preserve">95,000</w:t>
            </w:r>
          </w:p>
        </w:tc>
      </w:tr>
      <w:tr>
        <w:tc>
          <w:tcPr/>
          <w:p>
            <w:pPr>
              <w:pStyle w:val="Compact"/>
              <w:jc w:val="left"/>
            </w:pPr>
            <w:r>
              <w:t xml:space="preserve">08</w:t>
            </w:r>
          </w:p>
        </w:tc>
        <w:tc>
          <w:tcPr/>
          <w:p>
            <w:pPr>
              <w:pStyle w:val="Compact"/>
              <w:jc w:val="left"/>
            </w:pPr>
            <w:r>
              <w:t xml:space="preserve">Travel, Accommodation &amp; Per Diem for Oceanographer Team (Jeddah, Saudi Arabia)</w:t>
            </w:r>
          </w:p>
        </w:tc>
        <w:tc>
          <w:tcPr/>
          <w:p>
            <w:pPr>
              <w:pStyle w:val="Compact"/>
              <w:jc w:val="left"/>
            </w:pPr>
            <w:r>
              <w:t xml:space="preserve">120 days</w:t>
            </w:r>
          </w:p>
        </w:tc>
        <w:tc>
          <w:tcPr/>
          <w:p>
            <w:pPr>
              <w:pStyle w:val="Compact"/>
              <w:jc w:val="left"/>
            </w:pPr>
            <w:r>
              <w:t xml:space="preserve">1,500</w:t>
            </w:r>
          </w:p>
        </w:tc>
        <w:tc>
          <w:tcPr/>
          <w:p>
            <w:pPr>
              <w:pStyle w:val="Compact"/>
              <w:jc w:val="left"/>
            </w:pPr>
            <w:r>
              <w:t xml:space="preserve">180,000</w:t>
            </w:r>
          </w:p>
        </w:tc>
      </w:tr>
      <w:tr>
        <w:tc>
          <w:tcPr/>
          <w:p>
            <w:pPr>
              <w:pStyle w:val="Compact"/>
              <w:jc w:val="left"/>
            </w:pPr>
            <w:r>
              <w:t xml:space="preserve">09</w:t>
            </w:r>
          </w:p>
        </w:tc>
        <w:tc>
          <w:tcPr/>
          <w:p>
            <w:pPr>
              <w:pStyle w:val="Compact"/>
              <w:jc w:val="left"/>
            </w:pPr>
            <w:r>
              <w:t xml:space="preserve">Permits, Regulatory Filings &amp; Port Authority Coordination (Jeddah)</w:t>
            </w:r>
          </w:p>
        </w:tc>
        <w:tc>
          <w:tcPr/>
          <w:p>
            <w:pPr>
              <w:pStyle w:val="Compact"/>
              <w:jc w:val="left"/>
            </w:pPr>
            <w:r>
              <w:t xml:space="preserve">1 lot</w:t>
            </w:r>
          </w:p>
        </w:tc>
        <w:tc>
          <w:tcPr/>
          <w:p>
            <w:pPr>
              <w:pStyle w:val="Compact"/>
              <w:jc w:val="left"/>
            </w:pPr>
            <w:r>
              <w:t xml:space="preserve">1</w:t>
            </w:r>
          </w:p>
        </w:tc>
        <w:tc>
          <w:tcPr/>
          <w:p>
            <w:pPr>
              <w:pStyle w:val="Compact"/>
              <w:jc w:val="left"/>
            </w:pPr>
            <w:r>
              <w:t xml:space="preserve">42,000</w:t>
            </w:r>
          </w:p>
        </w:tc>
      </w:tr>
      <w:tr>
        <w:tc>
          <w:tcPr/>
          <w:p>
            <w:pPr>
              <w:pStyle w:val="Compact"/>
              <w:jc w:val="left"/>
            </w:pPr>
            <w:r>
              <w:t xml:space="preserve">10</w:t>
            </w:r>
          </w:p>
        </w:tc>
        <w:tc>
          <w:tcPr/>
          <w:p>
            <w:pPr>
              <w:pStyle w:val="Compact"/>
              <w:jc w:val="left"/>
            </w:pPr>
            <w:r>
              <w:t xml:space="preserve">Final Technical Report (Arabic &amp; English), 3 hard copies + digital delivery</w:t>
            </w:r>
          </w:p>
        </w:tc>
        <w:tc>
          <w:tcPr/>
          <w:p>
            <w:pPr>
              <w:pStyle w:val="Compact"/>
              <w:jc w:val="left"/>
            </w:pPr>
            <w:r>
              <w:t xml:space="preserve">1 lot</w:t>
            </w:r>
          </w:p>
        </w:tc>
        <w:tc>
          <w:tcPr/>
          <w:p>
            <w:pPr>
              <w:pStyle w:val="Compact"/>
              <w:jc w:val="left"/>
            </w:pPr>
            <w:r>
              <w:t xml:space="preserve">1</w:t>
            </w:r>
          </w:p>
        </w:tc>
        <w:tc>
          <w:tcPr/>
          <w:p>
            <w:pPr>
              <w:pStyle w:val="Compact"/>
              <w:jc w:val="left"/>
            </w:pPr>
            <w:r>
              <w:t xml:space="preserve">38,000</w:t>
            </w:r>
          </w:p>
        </w:tc>
      </w:tr>
      <w:tr>
        <w:tc>
          <w:tcPr>
            <w:gridSpan w:val="4"/>
          </w:tcPr>
          <w:p>
            <w:pPr>
              <w:pStyle w:val="Compact"/>
              <w:jc w:val="left"/>
            </w:pPr>
            <w:r>
              <w:t xml:space="preserve">Subtotal</w:t>
            </w:r>
          </w:p>
        </w:tc>
        <w:tc>
          <w:tcPr/>
          <w:p>
            <w:pPr>
              <w:pStyle w:val="Compact"/>
              <w:jc w:val="left"/>
            </w:pPr>
            <w:r>
              <w:t xml:space="preserve">2,694,000</w:t>
            </w:r>
          </w:p>
        </w:tc>
      </w:tr>
      <w:tr>
        <w:tc>
          <w:tcPr>
            <w:gridSpan w:val="4"/>
          </w:tcPr>
          <w:p>
            <w:pPr>
              <w:pStyle w:val="Compact"/>
              <w:jc w:val="left"/>
            </w:pPr>
            <w:r>
              <w:t xml:space="preserve">VAT (15% — Kingdom of Saudi Arabia)</w:t>
            </w:r>
          </w:p>
        </w:tc>
        <w:tc>
          <w:tcPr/>
          <w:p>
            <w:pPr>
              <w:pStyle w:val="Compact"/>
              <w:jc w:val="left"/>
            </w:pPr>
            <w:r>
              <w:t xml:space="preserve">404,100</w:t>
            </w:r>
          </w:p>
        </w:tc>
      </w:tr>
      <w:tr>
        <w:tc>
          <w:tcPr>
            <w:gridSpan w:val="4"/>
          </w:tcPr>
          <w:p>
            <w:pPr>
              <w:pStyle w:val="Compact"/>
              <w:jc w:val="left"/>
            </w:pPr>
            <w:r>
              <w:rPr>
                <w:bCs/>
                <w:b/>
              </w:rPr>
              <w:t xml:space="preserve">GRAND TOTAL (SAR)</w:t>
            </w:r>
          </w:p>
        </w:tc>
        <w:tc>
          <w:tcPr/>
          <w:p>
            <w:pPr>
              <w:pStyle w:val="Compact"/>
              <w:jc w:val="left"/>
            </w:pPr>
            <w:r>
              <w:rPr>
                <w:bCs/>
                <w:b/>
              </w:rPr>
              <w:t xml:space="preserve">3,098,100</w:t>
            </w:r>
          </w:p>
        </w:tc>
      </w:tr>
    </w:tbl>
    <w:bookmarkEnd w:id="23"/>
    <w:bookmarkStart w:id="24" w:name="payment-schedule"/>
    <w:p>
      <w:pPr>
        <w:pStyle w:val="Heading2"/>
      </w:pPr>
      <w:r>
        <w:t xml:space="preserve">4. Payment Schedule</w:t>
      </w:r>
    </w:p>
    <w:p>
      <w:pPr>
        <w:pStyle w:val="FirstParagraph"/>
      </w:pPr>
      <w:r>
        <w:t xml:space="preserve">Payment for this</w:t>
      </w:r>
      <w:r>
        <w:t xml:space="preserve"> </w:t>
      </w:r>
      <w:r>
        <w:t xml:space="preserve">Quotation Estimate</w:t>
      </w:r>
      <w:r>
        <w:t xml:space="preserve"> </w:t>
      </w:r>
      <w:r>
        <w:t xml:space="preserve">shall be structured as follows, with all transactions processed in Saudi Riyals (SAR) via bank transfer to the consultancy's designated account in Jeddah:</w:t>
      </w:r>
    </w:p>
    <w:p>
      <w:pPr>
        <w:numPr>
          <w:ilvl w:val="0"/>
          <w:numId w:val="1002"/>
        </w:numPr>
        <w:pStyle w:val="Compact"/>
      </w:pPr>
      <w:r>
        <w:rPr>
          <w:bCs/>
          <w:b/>
        </w:rPr>
        <w:t xml:space="preserve">Milestone 1 (30%):</w:t>
      </w:r>
      <w:r>
        <w:t xml:space="preserve"> </w:t>
      </w:r>
      <w:r>
        <w:t xml:space="preserve">Upon signed acceptance of this Quotation Estimate and issuance of the Purchase Order — SAR 929,430.</w:t>
      </w:r>
    </w:p>
    <w:p>
      <w:pPr>
        <w:numPr>
          <w:ilvl w:val="0"/>
          <w:numId w:val="1002"/>
        </w:numPr>
        <w:pStyle w:val="Compact"/>
      </w:pPr>
      <w:r>
        <w:rPr>
          <w:bCs/>
          <w:b/>
        </w:rPr>
        <w:t xml:space="preserve">Milestone 2 (40%):</w:t>
      </w:r>
      <w:r>
        <w:t xml:space="preserve"> </w:t>
      </w:r>
      <w:r>
        <w:t xml:space="preserve">Upon completion of fieldwork and delivery of raw data sets — SAR 1,239,240.</w:t>
      </w:r>
    </w:p>
    <w:p>
      <w:pPr>
        <w:numPr>
          <w:ilvl w:val="0"/>
          <w:numId w:val="1002"/>
        </w:numPr>
        <w:pStyle w:val="Compact"/>
      </w:pPr>
      <w:r>
        <w:rPr>
          <w:bCs/>
          <w:b/>
        </w:rPr>
        <w:t xml:space="preserve">Milestone 3 (30%):</w:t>
      </w:r>
      <w:r>
        <w:t xml:space="preserve"> </w:t>
      </w:r>
      <w:r>
        <w:t xml:space="preserve">Upon final acceptance of the technical report and all deliverables — SAR 929,430.</w:t>
      </w:r>
    </w:p>
    <w:bookmarkEnd w:id="24"/>
    <w:bookmarkStart w:id="25" w:name="terms-conditions"/>
    <w:p>
      <w:pPr>
        <w:pStyle w:val="Heading2"/>
      </w:pPr>
      <w:r>
        <w:t xml:space="preserve">5. Terms &amp; Conditions</w:t>
      </w:r>
    </w:p>
    <w:p>
      <w:pPr>
        <w:numPr>
          <w:ilvl w:val="0"/>
          <w:numId w:val="1003"/>
        </w:numPr>
        <w:pStyle w:val="Compact"/>
      </w:pPr>
      <w:r>
        <w:t xml:space="preserve">This</w:t>
      </w:r>
      <w:r>
        <w:t xml:space="preserve"> </w:t>
      </w:r>
      <w:r>
        <w:t xml:space="preserve">Quotation Estimate</w:t>
      </w:r>
      <w:r>
        <w:t xml:space="preserve"> </w:t>
      </w:r>
      <w:r>
        <w:t xml:space="preserve">is valid for a period of ninety (90) calendar days from the date of issue. Beyond this period, pricing may be subject to revision due to currency fluctuation, equipment availability, or regulatory changes in Saudi Arabia.</w:t>
      </w:r>
    </w:p>
    <w:p>
      <w:pPr>
        <w:numPr>
          <w:ilvl w:val="0"/>
          <w:numId w:val="1003"/>
        </w:numPr>
        <w:pStyle w:val="Compact"/>
      </w:pPr>
      <w:r>
        <w:t xml:space="preserve">The</w:t>
      </w:r>
      <w:r>
        <w:t xml:space="preserve"> </w:t>
      </w:r>
      <w:r>
        <w:t xml:space="preserve">Oceanographer</w:t>
      </w:r>
      <w:r>
        <w:t xml:space="preserve"> </w:t>
      </w:r>
      <w:r>
        <w:t xml:space="preserve">and support team shall comply with all applicable laws and regulations of the Kingdom of Saudi Arabia, including those enforced by the Ministry of Environment, Water and Agriculture, the Saudi Ports Authority (MAWATH), and the Jeddah Municipal Authority.</w:t>
      </w:r>
    </w:p>
    <w:p>
      <w:pPr>
        <w:numPr>
          <w:ilvl w:val="0"/>
          <w:numId w:val="1003"/>
        </w:numPr>
        <w:pStyle w:val="Compact"/>
      </w:pPr>
      <w:r>
        <w:t xml:space="preserve">All data collected during the engagement in</w:t>
      </w:r>
      <w:r>
        <w:t xml:space="preserve"> </w:t>
      </w:r>
      <w:r>
        <w:t xml:space="preserve">Saudi Arabia Jeddah</w:t>
      </w:r>
      <w:r>
        <w:t xml:space="preserve"> </w:t>
      </w:r>
      <w:r>
        <w:t xml:space="preserve">shall remain the exclusive intellectual property of the client. The Oceanographer and consultancy team shall sign a Non-Disclosure Agreement (NDA) prior to commencing fieldwork.</w:t>
      </w:r>
    </w:p>
    <w:p>
      <w:pPr>
        <w:numPr>
          <w:ilvl w:val="0"/>
          <w:numId w:val="1003"/>
        </w:numPr>
        <w:pStyle w:val="Compact"/>
      </w:pPr>
      <w:r>
        <w:t xml:space="preserve">Force majeure events, including but not limited to severe weather conditions in the Red Sea, government-mandated work stoppages, or port closures in Jeddah, shall extend the project timeline on a day-for-day basis without additional cost to the client.</w:t>
      </w:r>
    </w:p>
    <w:p>
      <w:pPr>
        <w:numPr>
          <w:ilvl w:val="0"/>
          <w:numId w:val="1003"/>
        </w:numPr>
        <w:pStyle w:val="Compact"/>
      </w:pPr>
      <w:r>
        <w:t xml:space="preserve">The Oceanographer shall carry professional indemnity insurance with a minimum coverage of SAR 5,000,000, valid throughout the duration of the engagement in Saudi Arabia Jeddah.</w:t>
      </w:r>
    </w:p>
    <w:p>
      <w:pPr>
        <w:numPr>
          <w:ilvl w:val="0"/>
          <w:numId w:val="1003"/>
        </w:numPr>
        <w:pStyle w:val="Compact"/>
      </w:pPr>
      <w:r>
        <w:t xml:space="preserve">Any changes to the scope of work beyond the parameters described in Section 2 shall be subject to a supplementary Quotation Estimate issued by the consultancy and approved in writing by the client before execution.</w:t>
      </w:r>
    </w:p>
    <w:p>
      <w:pPr>
        <w:numPr>
          <w:ilvl w:val="0"/>
          <w:numId w:val="1003"/>
        </w:numPr>
        <w:pStyle w:val="Compact"/>
      </w:pPr>
      <w:r>
        <w:t xml:space="preserve">Disputes arising from this Quotation Estimate shall be resolved through arbitration in Jeddah, Saudi Arabia, in accordance with the rules of the Saudi Center for Commercial Arbitration.</w:t>
      </w:r>
    </w:p>
    <w:bookmarkEnd w:id="25"/>
    <w:bookmarkStart w:id="26" w:name="acceptance-authorization"/>
    <w:p>
      <w:pPr>
        <w:pStyle w:val="Heading2"/>
      </w:pPr>
      <w:r>
        <w:t xml:space="preserve">6. Acceptance &amp;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Gulf Marine Sciences Consultancy LLC to proceed with the engagement of the</w:t>
      </w:r>
      <w:r>
        <w:t xml:space="preserve"> </w:t>
      </w:r>
      <w:r>
        <w:t xml:space="preserve">Oceanographer</w:t>
      </w:r>
      <w:r>
        <w:t xml:space="preserve"> </w:t>
      </w:r>
      <w:r>
        <w:t xml:space="preserve">team for the marine assessment project in</w:t>
      </w:r>
      <w:r>
        <w:t xml:space="preserve"> </w:t>
      </w:r>
      <w:r>
        <w:t xml:space="preserve">Saudi Arabia Jeddah</w:t>
      </w:r>
      <w:r>
        <w:t xml:space="preserve"> </w:t>
      </w:r>
      <w:r>
        <w:t xml:space="preserve">under the terms and conditions outlined herein.</w:t>
      </w:r>
    </w:p>
    <w:p>
      <w:pPr>
        <w:pStyle w:val="BodyText"/>
      </w:pPr>
      <w:r>
        <w:rPr>
          <w:bCs/>
          <w:b/>
        </w:rPr>
        <w:t xml:space="preserve">For and on behalf of the Client</w:t>
      </w:r>
    </w:p>
    <w:p>
      <w:pPr>
        <w:pStyle w:val="BodyText"/>
      </w:pPr>
      <w:r>
        <w:t xml:space="preserve">Saudi Arabian General Investment Authority</w:t>
      </w:r>
    </w:p>
    <w:p>
      <w:pPr>
        <w:pStyle w:val="BodyText"/>
      </w:pPr>
      <w:r>
        <w:t xml:space="preserve">Jeddah, Saudi Arabia</w:t>
      </w:r>
    </w:p>
    <w:p>
      <w:pPr>
        <w:pStyle w:val="BodyText"/>
      </w:pPr>
      <w:r>
        <w:t xml:space="preserve">Name / Title / Signature / Date</w:t>
      </w:r>
    </w:p>
    <w:p>
      <w:pPr>
        <w:pStyle w:val="BodyText"/>
      </w:pPr>
      <w:r>
        <w:rPr>
          <w:bCs/>
          <w:b/>
        </w:rPr>
        <w:t xml:space="preserve">For and on behalf of the Consultant</w:t>
      </w:r>
    </w:p>
    <w:p>
      <w:pPr>
        <w:pStyle w:val="BodyText"/>
      </w:pPr>
      <w:r>
        <w:t xml:space="preserve">Gulf Marine Sciences Consultancy LLC</w:t>
      </w:r>
    </w:p>
    <w:p>
      <w:pPr>
        <w:pStyle w:val="BodyText"/>
      </w:pPr>
      <w:r>
        <w:t xml:space="preserve">Jeddah, Saudi Arabia</w:t>
      </w:r>
    </w:p>
    <w:p>
      <w:pPr>
        <w:pStyle w:val="BodyText"/>
      </w:pPr>
      <w:r>
        <w:t xml:space="preserve">Name / Title / Signature / Date</w:t>
      </w:r>
    </w:p>
    <w:p>
      <w:pPr>
        <w:pStyle w:val="BodyText"/>
      </w:pPr>
      <w:r>
        <w:t xml:space="preserve">Gulf Marine Sciences Consultancy LLC | Office 12, King Fahd Road, Al Shati District, Jeddah 23411, Saudi Arabia</w:t>
      </w:r>
    </w:p>
    <w:p>
      <w:pPr>
        <w:pStyle w:val="BodyText"/>
      </w:pPr>
      <w:r>
        <w:t xml:space="preserve">CR: 1010XXXXXX | VAT: 31XXXXXXX00000 | Tel: +966 12 XXX XXXX | Email: proposals@gulfmarsci.sa</w:t>
      </w:r>
    </w:p>
    <w:p>
      <w:pPr>
        <w:pStyle w:val="BodyText"/>
      </w:pPr>
      <w:r>
        <w:t xml:space="preserve">This Quotation Estimate is a confidential commercial document. Unauthorized reproduction or distribution is prohibited.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Oceanographer Services - Saudi Arabia Jeddah</dc:title>
  <dc:creator/>
  <dc:language>en</dc:language>
  <cp:keywords/>
  <dcterms:created xsi:type="dcterms:W3CDTF">2026-10-10T04:07:21Z</dcterms:created>
  <dcterms:modified xsi:type="dcterms:W3CDTF">2026-10-10T04:07:21Z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