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quotation-estimate"/>
    <w:p>
      <w:pPr>
        <w:pStyle w:val="Heading1"/>
      </w:pPr>
      <w:r>
        <w:t xml:space="preserve">QUOTATION ESTIMATE</w:t>
      </w:r>
    </w:p>
    <w:bookmarkStart w:id="20" w:name="X58c31527e126b1163346b00af54d191f059e765"/>
    <w:p>
      <w:pPr>
        <w:pStyle w:val="Heading2"/>
      </w:pPr>
      <w:r>
        <w:t xml:space="preserve">Oceanographer Professional Services &amp; Marine Research Consultancy</w:t>
      </w:r>
    </w:p>
    <w:p>
      <w:pPr>
        <w:pStyle w:val="FirstParagraph"/>
      </w:pPr>
      <w:r>
        <w:rPr>
          <w:bCs/>
          <w:b/>
        </w:rPr>
        <w:t xml:space="preserve">Marine Science &amp; Environmental Solutions Ltd.</w:t>
      </w:r>
    </w:p>
    <w:p>
      <w:pPr>
        <w:pStyle w:val="BodyText"/>
      </w:pPr>
      <w:r>
        <w:t xml:space="preserve">Office 1204, Kingdom Tower, Olaya Street,</w:t>
      </w:r>
      <w:r>
        <w:t xml:space="preserve"> </w:t>
      </w:r>
      <w:r>
        <w:rPr>
          <w:bCs/>
          <w:b/>
        </w:rPr>
        <w:t xml:space="preserve">Saudi Arabia Riyadh</w:t>
      </w:r>
      <w:r>
        <w:t xml:space="preserve">, 12212</w:t>
      </w:r>
    </w:p>
    <w:p>
      <w:pPr>
        <w:pStyle w:val="BodyText"/>
      </w:pPr>
      <w:r>
        <w:t xml:space="preserve">CR No. 1010XXXXXX | VAT No. 310XXXXXXX1230003</w:t>
      </w:r>
    </w:p>
    <w:p>
      <w:pPr>
        <w:pStyle w:val="BodyText"/>
      </w:pPr>
      <w:r>
        <w:t xml:space="preserve">Tel: +966 11 4XXX XXXX | Email: quotations@marinesciences-sa.com</w:t>
      </w:r>
    </w:p>
    <w:bookmarkEnd w:id="20"/>
    <w:bookmarkEnd w:id="21"/>
    <w:p>
      <w:pPr>
        <w:pStyle w:val="BodyText"/>
      </w:pPr>
      <w:r>
        <w:rPr>
          <w:bCs/>
          <w:b/>
        </w:rPr>
        <w:t xml:space="preserve">Quotation No.:</w:t>
      </w:r>
      <w:r>
        <w:t xml:space="preserve"> </w:t>
      </w:r>
      <w:r>
        <w:t xml:space="preserve">QTE-2025-OCE-0472</w:t>
      </w:r>
    </w:p>
    <w:p>
      <w:pPr>
        <w:pStyle w:val="BodyText"/>
      </w:pPr>
      <w:r>
        <w:rPr>
          <w:bCs/>
          <w:b/>
        </w:rPr>
        <w:t xml:space="preserve">Date of Issue:</w:t>
      </w:r>
      <w:r>
        <w:t xml:space="preserve"> </w:t>
      </w:r>
      <w:r>
        <w:t xml:space="preserve">14 July 2025</w:t>
      </w:r>
    </w:p>
    <w:p>
      <w:pPr>
        <w:pStyle w:val="BodyText"/>
      </w:pPr>
      <w:r>
        <w:rPr>
          <w:bCs/>
          <w:b/>
        </w:rPr>
        <w:t xml:space="preserve">Validity Period:</w:t>
      </w:r>
      <w:r>
        <w:t xml:space="preserve"> </w:t>
      </w:r>
      <w:r>
        <w:t xml:space="preserve">60 days from date of issue</w:t>
      </w:r>
    </w:p>
    <w:p>
      <w:pPr>
        <w:pStyle w:val="BodyText"/>
      </w:pPr>
      <w:r>
        <w:rPr>
          <w:bCs/>
          <w:b/>
        </w:rPr>
        <w:t xml:space="preserve">Project Reference:</w:t>
      </w:r>
      <w:r>
        <w:t xml:space="preserve"> </w:t>
      </w:r>
      <w:r>
        <w:t xml:space="preserve">MAR-RIY-2025-089</w:t>
      </w:r>
    </w:p>
    <w:p>
      <w:pPr>
        <w:pStyle w:val="BodyText"/>
      </w:pPr>
      <w:r>
        <w:rPr>
          <w:bCs/>
          <w:b/>
        </w:rPr>
        <w:t xml:space="preserve">Prepared For:</w:t>
      </w:r>
    </w:p>
    <w:p>
      <w:pPr>
        <w:pStyle w:val="BodyText"/>
      </w:pPr>
      <w:r>
        <w:t xml:space="preserve">Ministry of Environment, Water and Agriculture</w:t>
      </w:r>
    </w:p>
    <w:p>
      <w:pPr>
        <w:pStyle w:val="BodyText"/>
      </w:pPr>
      <w:r>
        <w:t xml:space="preserve">Marine &amp; Coastal Affairs Directorate</w:t>
      </w:r>
    </w:p>
    <w:p>
      <w:pPr>
        <w:pStyle w:val="BodyText"/>
      </w:pPr>
      <w:r>
        <w:t xml:space="preserve">Kingdom Tower,</w:t>
      </w:r>
      <w:r>
        <w:t xml:space="preserve"> </w:t>
      </w:r>
      <w:r>
        <w:rPr>
          <w:bCs/>
          <w:b/>
        </w:rPr>
        <w:t xml:space="preserve">Saudi Arabia Riyadh</w:t>
      </w:r>
    </w:p>
    <w:p>
      <w:pPr>
        <w:pStyle w:val="BodyText"/>
      </w:pPr>
      <w:r>
        <w:t xml:space="preserve">Attn: Dr. Khalid Al-Rashid, Director</w:t>
      </w:r>
    </w:p>
    <w:bookmarkStart w:id="22" w:name="executive-summary"/>
    <w:p>
      <w:pPr>
        <w:pStyle w:val="Heading3"/>
      </w:pPr>
      <w:r>
        <w:t xml:space="preserve">1. Executive Summary</w:t>
      </w:r>
    </w:p>
    <w:p>
      <w:pPr>
        <w:pStyle w:val="FirstParagraph"/>
      </w:pPr>
      <w:r>
        <w:t xml:space="preserve">This</w:t>
      </w:r>
      <w:r>
        <w:t xml:space="preserve"> </w:t>
      </w:r>
      <w:r>
        <w:rPr>
          <w:bCs/>
          <w:b/>
        </w:rPr>
        <w:t xml:space="preserve">Quotation Estimate</w:t>
      </w:r>
      <w:r>
        <w:t xml:space="preserve"> </w:t>
      </w:r>
      <w:r>
        <w:t xml:space="preserve">is formally submitted by Marine Science &amp; Environmental Solutions Ltd. to provide the services of a senior</w:t>
      </w:r>
      <w:r>
        <w:t xml:space="preserve"> </w:t>
      </w:r>
      <w:r>
        <w:rPr>
          <w:bCs/>
          <w:b/>
        </w:rPr>
        <w:t xml:space="preserve">Oceanographer</w:t>
      </w:r>
      <w:r>
        <w:t xml:space="preserve"> </w:t>
      </w:r>
      <w:r>
        <w:t xml:space="preserve">and supporting marine research team for a comprehensive coastal and marine environmental assessment programme. Although the project coordination and administrative headquarters are located in</w:t>
      </w:r>
      <w:r>
        <w:t xml:space="preserve"> </w:t>
      </w:r>
      <w:r>
        <w:rPr>
          <w:bCs/>
          <w:b/>
        </w:rPr>
        <w:t xml:space="preserve">Saudi Arabia Riyadh</w:t>
      </w:r>
      <w:r>
        <w:t xml:space="preserve">, the fieldwork will be conducted along the Kingdom's Red Sea and Persian Gulf coastlines, with all data processing, reporting, and stakeholder presentations managed from our dedicated</w:t>
      </w:r>
      <w:r>
        <w:t xml:space="preserve"> </w:t>
      </w:r>
      <w:r>
        <w:rPr>
          <w:bCs/>
          <w:b/>
        </w:rPr>
        <w:t xml:space="preserve">Saudi Arabia Riyadh</w:t>
      </w:r>
      <w:r>
        <w:t xml:space="preserve"> </w:t>
      </w:r>
      <w:r>
        <w:t xml:space="preserve">operations centre. This</w:t>
      </w:r>
      <w:r>
        <w:t xml:space="preserve"> </w:t>
      </w:r>
      <w:r>
        <w:rPr>
          <w:bCs/>
          <w:b/>
        </w:rPr>
        <w:t xml:space="preserve">Quotation Estimate</w:t>
      </w:r>
      <w:r>
        <w:t xml:space="preserve"> </w:t>
      </w:r>
      <w:r>
        <w:t xml:space="preserve">covers a twelve-month engagement period commencing upon contract execution.</w:t>
      </w:r>
    </w:p>
    <w:bookmarkEnd w:id="22"/>
    <w:bookmarkStart w:id="23" w:name="scope-of-work-oceanographer-services"/>
    <w:p>
      <w:pPr>
        <w:pStyle w:val="Heading3"/>
      </w:pPr>
      <w:r>
        <w:t xml:space="preserve">2. Scope of Work – Oceanographer Services</w:t>
      </w:r>
    </w:p>
    <w:p>
      <w:pPr>
        <w:pStyle w:val="FirstParagraph"/>
      </w:pPr>
      <w:r>
        <w:t xml:space="preserve">The appointed</w:t>
      </w:r>
      <w:r>
        <w:t xml:space="preserve"> </w:t>
      </w:r>
      <w:r>
        <w:rPr>
          <w:bCs/>
          <w:b/>
        </w:rPr>
        <w:t xml:space="preserve">Oceanographer</w:t>
      </w:r>
      <w:r>
        <w:t xml:space="preserve"> </w:t>
      </w:r>
      <w:r>
        <w:t xml:space="preserve">will deliver the following professional services in support of the Kingdom's marine environmental strategy:</w:t>
      </w:r>
    </w:p>
    <w:p>
      <w:pPr>
        <w:numPr>
          <w:ilvl w:val="0"/>
          <w:numId w:val="1001"/>
        </w:numPr>
        <w:pStyle w:val="Compact"/>
      </w:pPr>
      <w:r>
        <w:rPr>
          <w:bCs/>
          <w:b/>
        </w:rPr>
        <w:t xml:space="preserve">Marine Hydrographic Surveys:</w:t>
      </w:r>
      <w:r>
        <w:t xml:space="preserve"> </w:t>
      </w:r>
      <w:r>
        <w:t xml:space="preserve">Conduct bathymetric and topographic surveys along 200 km of the Red Sea coastline near Jeddah and the Persian Gulf near Dammam, producing high-resolution seafloor maps for port expansion planning.</w:t>
      </w:r>
    </w:p>
    <w:p>
      <w:pPr>
        <w:numPr>
          <w:ilvl w:val="0"/>
          <w:numId w:val="1001"/>
        </w:numPr>
        <w:pStyle w:val="Compact"/>
      </w:pPr>
      <w:r>
        <w:rPr>
          <w:bCs/>
          <w:b/>
        </w:rPr>
        <w:t xml:space="preserve">Water Quality Monitoring:</w:t>
      </w:r>
      <w:r>
        <w:t xml:space="preserve"> </w:t>
      </w:r>
      <w:r>
        <w:t xml:space="preserve">Deploy and maintain a network of 45 automated monitoring buoys to track salinity, dissolved oxygen, turbidity, temperature, and nutrient concentrations on a continuous basis.</w:t>
      </w:r>
    </w:p>
    <w:p>
      <w:pPr>
        <w:numPr>
          <w:ilvl w:val="0"/>
          <w:numId w:val="1001"/>
        </w:numPr>
        <w:pStyle w:val="Compact"/>
      </w:pPr>
      <w:r>
        <w:rPr>
          <w:bCs/>
          <w:b/>
        </w:rPr>
        <w:t xml:space="preserve">Marine Biodiversity Assessment:</w:t>
      </w:r>
      <w:r>
        <w:t xml:space="preserve"> </w:t>
      </w:r>
      <w:r>
        <w:t xml:space="preserve">Perform quarterly transect surveys of coral reef health, seagrass meadow coverage, and fish population density in designated Marine Protected Areas.</w:t>
      </w:r>
    </w:p>
    <w:p>
      <w:pPr>
        <w:numPr>
          <w:ilvl w:val="0"/>
          <w:numId w:val="1001"/>
        </w:numPr>
        <w:pStyle w:val="Compact"/>
      </w:pPr>
      <w:r>
        <w:rPr>
          <w:bCs/>
          <w:b/>
        </w:rPr>
        <w:t xml:space="preserve">Coastal Erosion &amp; Sediment Transport Modelling:</w:t>
      </w:r>
      <w:r>
        <w:t xml:space="preserve"> </w:t>
      </w:r>
      <w:r>
        <w:t xml:space="preserve">Develop and calibrate numerical models (Delft3D, MIKE 21) to predict long-term shoreline evolution and inform coastal defence infrastructure design.</w:t>
      </w:r>
    </w:p>
    <w:p>
      <w:pPr>
        <w:numPr>
          <w:ilvl w:val="0"/>
          <w:numId w:val="1001"/>
        </w:numPr>
        <w:pStyle w:val="Compact"/>
      </w:pPr>
      <w:r>
        <w:rPr>
          <w:bCs/>
          <w:b/>
        </w:rPr>
        <w:t xml:space="preserve">Desalination Intake &amp; Outfall Environmental Impact Assessment:</w:t>
      </w:r>
      <w:r>
        <w:t xml:space="preserve"> </w:t>
      </w:r>
      <w:r>
        <w:t xml:space="preserve">Evaluate the ecological impact of thermal and chemical discharges from three existing desalination plants and propose mitigation measures.</w:t>
      </w:r>
    </w:p>
    <w:p>
      <w:pPr>
        <w:numPr>
          <w:ilvl w:val="0"/>
          <w:numId w:val="1001"/>
        </w:numPr>
        <w:pStyle w:val="Compact"/>
      </w:pPr>
      <w:r>
        <w:rPr>
          <w:bCs/>
          <w:b/>
        </w:rPr>
        <w:t xml:space="preserve">Marine Spatial Planning Support:</w:t>
      </w:r>
      <w:r>
        <w:t xml:space="preserve"> </w:t>
      </w:r>
      <w:r>
        <w:t xml:space="preserve">Provide the</w:t>
      </w:r>
      <w:r>
        <w:t xml:space="preserve"> </w:t>
      </w:r>
      <w:r>
        <w:rPr>
          <w:bCs/>
          <w:b/>
        </w:rPr>
        <w:t xml:space="preserve">Oceanographer</w:t>
      </w:r>
      <w:r>
        <w:t xml:space="preserve">'s technical input into the Kingdom's National Marine Spatial Plan, including zoning recommendations for aquaculture, shipping lanes, and renewable energy installations.</w:t>
      </w:r>
    </w:p>
    <w:p>
      <w:pPr>
        <w:numPr>
          <w:ilvl w:val="0"/>
          <w:numId w:val="1001"/>
        </w:numPr>
        <w:pStyle w:val="Compact"/>
      </w:pPr>
      <w:r>
        <w:rPr>
          <w:bCs/>
          <w:b/>
        </w:rPr>
        <w:t xml:space="preserve">Reporting &amp; Stakeholder Engagement:</w:t>
      </w:r>
      <w:r>
        <w:t xml:space="preserve"> </w:t>
      </w:r>
      <w:r>
        <w:t xml:space="preserve">Produce monthly progress reports, a comprehensive annual technical report, and present findings to the</w:t>
      </w:r>
      <w:r>
        <w:t xml:space="preserve"> </w:t>
      </w:r>
      <w:r>
        <w:rPr>
          <w:bCs/>
          <w:b/>
        </w:rPr>
        <w:t xml:space="preserve">Saudi Arabia Riyadh</w:t>
      </w:r>
      <w:r>
        <w:t xml:space="preserve"> </w:t>
      </w:r>
      <w:r>
        <w:t xml:space="preserve">policy committee no fewer than four times per year.</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(SAR)</w:t>
            </w:r>
          </w:p>
        </w:tc>
        <w:tc>
          <w:tcPr/>
          <w:p>
            <w:pPr>
              <w:pStyle w:val="Compact"/>
              <w:jc w:val="left"/>
            </w:pPr>
            <w:r>
              <w:t xml:space="preserve">Total (SAR)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Oceanographer – Professional Fee (PhD, 15+ yrs experience)</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Junior Oceanographer / Marine Biologist – Professional Fee</w:t>
            </w:r>
          </w:p>
        </w:tc>
        <w:tc>
          <w:tcPr/>
          <w:p>
            <w:pPr>
              <w:pStyle w:val="Compact"/>
              <w:jc w:val="left"/>
            </w:pPr>
            <w:r>
              <w:t xml:space="preserve">12 months</w:t>
            </w:r>
          </w:p>
        </w:tc>
        <w:tc>
          <w:tcPr/>
          <w:p>
            <w:pPr>
              <w:pStyle w:val="Compact"/>
              <w:jc w:val="left"/>
            </w:pPr>
            <w:r>
              <w:t xml:space="preserve">42,000</w:t>
            </w:r>
          </w:p>
        </w:tc>
        <w:tc>
          <w:tcPr/>
          <w:p>
            <w:pPr>
              <w:pStyle w:val="Compact"/>
              <w:jc w:val="left"/>
            </w:pPr>
            <w:r>
              <w:t xml:space="preserve">504,000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Marine Survey Vessel Charter (35 m research vessel, Red Sea)</w:t>
            </w:r>
          </w:p>
        </w:tc>
        <w:tc>
          <w:tcPr/>
          <w:p>
            <w:pPr>
              <w:pStyle w:val="Compact"/>
              <w:jc w:val="left"/>
            </w:pPr>
            <w:r>
              <w:t xml:space="preserve">6 months</w:t>
            </w:r>
          </w:p>
        </w:tc>
        <w:tc>
          <w:tcPr/>
          <w:p>
            <w:pPr>
              <w:pStyle w:val="Compact"/>
              <w:jc w:val="left"/>
            </w:pPr>
            <w:r>
              <w:t xml:space="preserve">180,000</w:t>
            </w:r>
          </w:p>
        </w:tc>
        <w:tc>
          <w:tcPr/>
          <w:p>
            <w:pPr>
              <w:pStyle w:val="Compact"/>
              <w:jc w:val="left"/>
            </w:pPr>
            <w:r>
              <w:t xml:space="preserve">1,080,000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Marine Survey Vessel Charter (30 m research vessel, Persian Gulf)</w:t>
            </w:r>
          </w:p>
        </w:tc>
        <w:tc>
          <w:tcPr/>
          <w:p>
            <w:pPr>
              <w:pStyle w:val="Compact"/>
              <w:jc w:val="left"/>
            </w:pPr>
            <w:r>
              <w:t xml:space="preserve">4 months</w:t>
            </w:r>
          </w:p>
        </w:tc>
        <w:tc>
          <w:tcPr/>
          <w:p>
            <w:pPr>
              <w:pStyle w:val="Compact"/>
              <w:jc w:val="left"/>
            </w:pPr>
            <w:r>
              <w:t xml:space="preserve">165,000</w:t>
            </w:r>
          </w:p>
        </w:tc>
        <w:tc>
          <w:tcPr/>
          <w:p>
            <w:pPr>
              <w:pStyle w:val="Compact"/>
              <w:jc w:val="left"/>
            </w:pPr>
            <w:r>
              <w:t xml:space="preserve">660,000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Automated Water Quality Monitoring Buoys (supply, install, calibrate)</w:t>
            </w:r>
          </w:p>
        </w:tc>
        <w:tc>
          <w:tcPr/>
          <w:p>
            <w:pPr>
              <w:pStyle w:val="Compact"/>
              <w:jc w:val="left"/>
            </w:pPr>
            <w:r>
              <w:t xml:space="preserve">45 units</w:t>
            </w:r>
          </w:p>
        </w:tc>
        <w:tc>
          <w:tcPr/>
          <w:p>
            <w:pPr>
              <w:pStyle w:val="Compact"/>
              <w:jc w:val="left"/>
            </w:pPr>
            <w:r>
              <w:t xml:space="preserve">18,500</w:t>
            </w:r>
          </w:p>
        </w:tc>
        <w:tc>
          <w:tcPr/>
          <w:p>
            <w:pPr>
              <w:pStyle w:val="Compact"/>
              <w:jc w:val="left"/>
            </w:pPr>
            <w:r>
              <w:t xml:space="preserve">832,500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Hydrographic Survey Equipment (Multibeam Echosounder, CTD, ADCP)</w:t>
            </w:r>
          </w:p>
        </w:tc>
        <w:tc>
          <w:tcPr/>
          <w:p>
            <w:pPr>
              <w:pStyle w:val="Compact"/>
              <w:jc w:val="left"/>
            </w:pPr>
            <w:r>
              <w:t xml:space="preserve">1 set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Coastal Modelling Software Licences (Delft3D, MIKE 21, QGIS Pro)</w:t>
            </w:r>
          </w:p>
        </w:tc>
        <w:tc>
          <w:tcPr/>
          <w:p>
            <w:pPr>
              <w:pStyle w:val="Compact"/>
              <w:jc w:val="left"/>
            </w:pPr>
            <w:r>
              <w:t xml:space="preserve">3 licences</w:t>
            </w:r>
          </w:p>
        </w:tc>
        <w:tc>
          <w:tcPr/>
          <w:p>
            <w:pPr>
              <w:pStyle w:val="Compact"/>
              <w:jc w:val="left"/>
            </w:pPr>
            <w:r>
              <w:t xml:space="preserve">32,000</w:t>
            </w:r>
          </w:p>
        </w:tc>
        <w:tc>
          <w:tcPr/>
          <w:p>
            <w:pPr>
              <w:pStyle w:val="Compact"/>
              <w:jc w:val="left"/>
            </w:pPr>
            <w:r>
              <w:t xml:space="preserve">96,000</w:t>
            </w:r>
          </w:p>
        </w:tc>
        <w:tc>
          <w:tcPr/>
          <w:p>
            <w:pPr>
              <w:pStyle w:val="Compact"/>
              <w:jc w:val="left"/>
            </w:pPr>
            <w:r>
              <w:t xml:space="preserve">Annual</w:t>
            </w:r>
          </w:p>
        </w:tc>
      </w:tr>
      <w:tr>
        <w:tc>
          <w:tcPr/>
          <w:p>
            <w:pPr>
              <w:pStyle w:val="Compact"/>
              <w:jc w:val="left"/>
            </w:pPr>
            <w:r>
              <w:t xml:space="preserve">8</w:t>
            </w:r>
          </w:p>
        </w:tc>
        <w:tc>
          <w:tcPr/>
          <w:p>
            <w:pPr>
              <w:pStyle w:val="Compact"/>
              <w:jc w:val="left"/>
            </w:pPr>
            <w:r>
              <w:t xml:space="preserve">Field Logistics, Permits &amp; Local Transport (Red Sea &amp; Gulf sites)</w:t>
            </w:r>
          </w:p>
        </w:tc>
        <w:tc>
          <w:tcPr/>
          <w:p>
            <w:pPr>
              <w:pStyle w:val="Compact"/>
              <w:jc w:val="left"/>
            </w:pPr>
            <w:r>
              <w:t xml:space="preserve">12 months</w:t>
            </w:r>
          </w:p>
        </w:tc>
        <w:tc>
          <w:tcPr/>
          <w:p>
            <w:pPr>
              <w:pStyle w:val="Compact"/>
              <w:jc w:val="left"/>
            </w:pPr>
            <w:r>
              <w:t xml:space="preserve">28,000</w:t>
            </w:r>
          </w:p>
        </w:tc>
        <w:tc>
          <w:tcPr/>
          <w:p>
            <w:pPr>
              <w:pStyle w:val="Compact"/>
              <w:jc w:val="left"/>
            </w:pPr>
            <w:r>
              <w:t xml:space="preserve">336,000</w:t>
            </w:r>
          </w:p>
        </w:tc>
        <w:tc>
          <w:tcPr/>
          <w:p>
            <w:pPr>
              <w:pStyle w:val="Compact"/>
              <w:jc w:val="left"/>
            </w:pPr>
            <w:r>
              <w:t xml:space="preserve">Monthly</w:t>
            </w:r>
          </w:p>
        </w:tc>
      </w:tr>
      <w:tr>
        <w:tc>
          <w:tcPr/>
          <w:p>
            <w:pPr>
              <w:pStyle w:val="Compact"/>
              <w:jc w:val="left"/>
            </w:pPr>
            <w:r>
              <w:t xml:space="preserve">9</w:t>
            </w:r>
          </w:p>
        </w:tc>
        <w:tc>
          <w:tcPr/>
          <w:p>
            <w:pPr>
              <w:pStyle w:val="Compact"/>
              <w:jc w:val="left"/>
            </w:pPr>
            <w:r>
              <w:t xml:space="preserve">Office &amp; Data Processing Centre –</w:t>
            </w:r>
            <w:r>
              <w:t xml:space="preserve"> </w:t>
            </w:r>
            <w:r>
              <w:rPr>
                <w:bCs/>
                <w:b/>
              </w:rPr>
              <w:t xml:space="preserve">Saudi Arabia Riyadh</w:t>
            </w:r>
            <w:r>
              <w:t xml:space="preserve"> </w:t>
            </w:r>
            <w:r>
              <w:t xml:space="preserve">(dedicated suite, servers, GIS workstations)</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Monthly</w:t>
            </w:r>
          </w:p>
        </w:tc>
      </w:tr>
      <w:tr>
        <w:tc>
          <w:tcPr/>
          <w:p>
            <w:pPr>
              <w:pStyle w:val="Compact"/>
              <w:jc w:val="left"/>
            </w:pPr>
            <w:r>
              <w:t xml:space="preserve">10</w:t>
            </w:r>
          </w:p>
        </w:tc>
        <w:tc>
          <w:tcPr/>
          <w:p>
            <w:pPr>
              <w:pStyle w:val="Compact"/>
              <w:jc w:val="left"/>
            </w:pPr>
            <w:r>
              <w:t xml:space="preserve">Travel, Accommodation &amp; Per Diem for</w:t>
            </w:r>
            <w:r>
              <w:t xml:space="preserve"> </w:t>
            </w:r>
            <w:r>
              <w:rPr>
                <w:bCs/>
                <w:b/>
              </w:rPr>
              <w:t xml:space="preserve">Oceanographer</w:t>
            </w:r>
            <w:r>
              <w:t xml:space="preserve"> </w:t>
            </w:r>
            <w:r>
              <w:t xml:space="preserve">team (Riyadh to field sites)</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Monthly</w:t>
            </w:r>
          </w:p>
        </w:tc>
      </w:tr>
      <w:tr>
        <w:tc>
          <w:tcPr/>
          <w:p>
            <w:pPr>
              <w:pStyle w:val="Compact"/>
              <w:jc w:val="left"/>
            </w:pPr>
            <w:r>
              <w:t xml:space="preserve">11</w:t>
            </w:r>
          </w:p>
        </w:tc>
        <w:tc>
          <w:tcPr/>
          <w:p>
            <w:pPr>
              <w:pStyle w:val="Compact"/>
              <w:jc w:val="left"/>
            </w:pPr>
            <w:r>
              <w:t xml:space="preserve">Technical Report Writing, GIS Mapping &amp; Data Visualisation</w:t>
            </w:r>
          </w:p>
        </w:tc>
        <w:tc>
          <w:tcPr/>
          <w:p>
            <w:pPr>
              <w:pStyle w:val="Compact"/>
              <w:jc w:val="left"/>
            </w:pPr>
            <w:r>
              <w:t xml:space="preserve">12 months</w:t>
            </w:r>
          </w:p>
        </w:tc>
        <w:tc>
          <w:tcPr/>
          <w:p>
            <w:pPr>
              <w:pStyle w:val="Compact"/>
              <w:jc w:val="left"/>
            </w:pPr>
            <w:r>
              <w:t xml:space="preserve">22,000</w:t>
            </w:r>
          </w:p>
        </w:tc>
        <w:tc>
          <w:tcPr/>
          <w:p>
            <w:pPr>
              <w:pStyle w:val="Compact"/>
              <w:jc w:val="left"/>
            </w:pPr>
            <w:r>
              <w:t xml:space="preserve">264,000</w:t>
            </w:r>
          </w:p>
        </w:tc>
        <w:tc>
          <w:tcPr/>
          <w:p>
            <w:pPr>
              <w:pStyle w:val="Compact"/>
              <w:jc w:val="left"/>
            </w:pPr>
            <w:r>
              <w:t xml:space="preserve">Monthly</w:t>
            </w:r>
          </w:p>
        </w:tc>
      </w:tr>
      <w:tr>
        <w:tc>
          <w:tcPr/>
          <w:p>
            <w:pPr>
              <w:pStyle w:val="Compact"/>
              <w:jc w:val="left"/>
            </w:pPr>
            <w:r>
              <w:t xml:space="preserve">12</w:t>
            </w:r>
          </w:p>
        </w:tc>
        <w:tc>
          <w:tcPr/>
          <w:p>
            <w:pPr>
              <w:pStyle w:val="Compact"/>
              <w:jc w:val="left"/>
            </w:pPr>
            <w:r>
              <w:t xml:space="preserve">Stakeholder Workshops &amp; Policy Briefings in</w:t>
            </w:r>
            <w:r>
              <w:t xml:space="preserve"> </w:t>
            </w:r>
            <w:r>
              <w:rPr>
                <w:bCs/>
                <w:b/>
              </w:rPr>
              <w:t xml:space="preserve">Saudi Arabia Riyadh</w:t>
            </w:r>
          </w:p>
        </w:tc>
        <w:tc>
          <w:tcPr/>
          <w:p>
            <w:pPr>
              <w:pStyle w:val="Compact"/>
              <w:jc w:val="left"/>
            </w:pPr>
            <w:r>
              <w:t xml:space="preserve">4 events</w:t>
            </w:r>
          </w:p>
        </w:tc>
        <w:tc>
          <w:tcPr/>
          <w:p>
            <w:pPr>
              <w:pStyle w:val="Compact"/>
              <w:jc w:val="left"/>
            </w:pPr>
            <w:r>
              <w:t xml:space="preserve">45,000</w:t>
            </w:r>
          </w:p>
        </w:tc>
        <w:tc>
          <w:tcPr/>
          <w:p>
            <w:pPr>
              <w:pStyle w:val="Compact"/>
              <w:jc w:val="left"/>
            </w:pPr>
            <w:r>
              <w:t xml:space="preserve">180,000</w:t>
            </w:r>
          </w:p>
        </w:tc>
        <w:tc>
          <w:tcPr/>
          <w:p>
            <w:pPr>
              <w:pStyle w:val="Compact"/>
              <w:jc w:val="left"/>
            </w:pPr>
            <w:r>
              <w:t xml:space="preserve">Quarterly</w:t>
            </w:r>
          </w:p>
        </w:tc>
      </w:tr>
      <w:tr>
        <w:tc>
          <w:tcPr/>
          <w:p>
            <w:pPr>
              <w:pStyle w:val="Compact"/>
              <w:jc w:val="left"/>
            </w:pPr>
            <w:r>
              <w:t xml:space="preserve">13</w:t>
            </w:r>
          </w:p>
        </w:tc>
        <w:tc>
          <w:tcPr/>
          <w:p>
            <w:pPr>
              <w:pStyle w:val="Compact"/>
              <w:jc w:val="left"/>
            </w:pPr>
            <w:r>
              <w:t xml:space="preserve">Quality Assurance / Quality Control (QA/QC) &amp; Peer Review</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c>
          <w:tcPr/>
          <w:p>
            <w:pPr>
              <w:pStyle w:val="Compact"/>
              <w:jc w:val="left"/>
            </w:pPr>
            <w:r>
              <w:t xml:space="preserve">Monthly</w:t>
            </w:r>
          </w:p>
        </w:tc>
      </w:tr>
      <w:tr>
        <w:tc>
          <w:tcPr/>
          <w:p>
            <w:pPr>
              <w:pStyle w:val="Compact"/>
              <w:jc w:val="left"/>
            </w:pPr>
            <w:r>
              <w:t xml:space="preserve">14</w:t>
            </w:r>
          </w:p>
        </w:tc>
        <w:tc>
          <w:tcPr/>
          <w:p>
            <w:pPr>
              <w:pStyle w:val="Compact"/>
              <w:jc w:val="left"/>
            </w:pPr>
            <w:r>
              <w:t xml:space="preserve">Contingency &amp; Unforeseen Marine Weather Delays (8%)</w:t>
            </w:r>
          </w:p>
        </w:tc>
        <w:tc>
          <w:tcPr/>
          <w:p>
            <w:pPr>
              <w:pStyle w:val="Compact"/>
              <w:jc w:val="left"/>
            </w:pPr>
            <w:r>
              <w:t xml:space="preserve">1 lot</w:t>
            </w:r>
          </w:p>
        </w:tc>
        <w:tc>
          <w:tcPr/>
          <w:p>
            <w:pPr>
              <w:pStyle w:val="Compact"/>
              <w:jc w:val="left"/>
            </w:pPr>
            <w:r>
              <w:t xml:space="preserve">—</w:t>
            </w:r>
          </w:p>
        </w:tc>
        <w:tc>
          <w:tcPr/>
          <w:p>
            <w:pPr>
              <w:pStyle w:val="Compact"/>
              <w:jc w:val="left"/>
            </w:pPr>
            <w:r>
              <w:t xml:space="preserve">248,340</w:t>
            </w:r>
          </w:p>
        </w:tc>
        <w:tc>
          <w:tcPr/>
          <w:p>
            <w:pPr>
              <w:pStyle w:val="Compact"/>
              <w:jc w:val="left"/>
            </w:pPr>
            <w:r>
              <w:t xml:space="preserve">—</w:t>
            </w:r>
          </w:p>
        </w:tc>
      </w:tr>
      <w:tr>
        <w:tc>
          <w:tcPr>
            <w:gridSpan w:val="4"/>
          </w:tcPr>
          <w:p>
            <w:pPr>
              <w:pStyle w:val="Compact"/>
              <w:jc w:val="left"/>
            </w:pPr>
            <w:r>
              <w:rPr>
                <w:bCs/>
                <w:b/>
              </w:rPr>
              <w:t xml:space="preserve">SUBTOTAL (SAR)</w:t>
            </w:r>
          </w:p>
        </w:tc>
        <w:tc>
          <w:tcPr/>
          <w:p>
            <w:pPr>
              <w:pStyle w:val="Compact"/>
              <w:jc w:val="left"/>
            </w:pPr>
            <w:r>
              <w:rPr>
                <w:bCs/>
                <w:b/>
              </w:rPr>
              <w:t xml:space="preserve">6,686,840</w:t>
            </w:r>
          </w:p>
        </w:tc>
        <w:tc>
          <w:tcPr/>
          <w:p>
            <w:pPr>
              <w:pStyle w:val="Compact"/>
            </w:pPr>
          </w:p>
        </w:tc>
      </w:tr>
      <w:tr>
        <w:tc>
          <w:tcPr>
            <w:gridSpan w:val="4"/>
          </w:tcPr>
          <w:p>
            <w:pPr>
              <w:pStyle w:val="Compact"/>
              <w:jc w:val="left"/>
            </w:pPr>
            <w:r>
              <w:rPr>
                <w:bCs/>
                <w:b/>
              </w:rPr>
              <w:t xml:space="preserve">VAT @ 15%</w:t>
            </w:r>
          </w:p>
        </w:tc>
        <w:tc>
          <w:tcPr/>
          <w:p>
            <w:pPr>
              <w:pStyle w:val="Compact"/>
              <w:jc w:val="left"/>
            </w:pPr>
            <w:r>
              <w:rPr>
                <w:bCs/>
                <w:b/>
              </w:rPr>
              <w:t xml:space="preserve">1,003,026</w:t>
            </w:r>
          </w:p>
        </w:tc>
        <w:tc>
          <w:tcPr/>
          <w:p>
            <w:pPr>
              <w:pStyle w:val="Compact"/>
            </w:pPr>
          </w:p>
        </w:tc>
      </w:tr>
      <w:tr>
        <w:tc>
          <w:tcPr>
            <w:gridSpan w:val="4"/>
          </w:tcPr>
          <w:p>
            <w:pPr>
              <w:pStyle w:val="Compact"/>
              <w:jc w:val="left"/>
            </w:pPr>
            <w:r>
              <w:rPr>
                <w:bCs/>
                <w:b/>
              </w:rPr>
              <w:t xml:space="preserve">GRAND TOTAL (SAR)</w:t>
            </w:r>
          </w:p>
        </w:tc>
        <w:tc>
          <w:tcPr/>
          <w:p>
            <w:pPr>
              <w:pStyle w:val="Compact"/>
              <w:jc w:val="left"/>
            </w:pPr>
            <w:r>
              <w:rPr>
                <w:bCs/>
                <w:b/>
              </w:rPr>
              <w:t xml:space="preserve">7,689,866</w:t>
            </w:r>
          </w:p>
        </w:tc>
        <w:tc>
          <w:tcPr/>
          <w:p>
            <w:pPr>
              <w:pStyle w:val="Compact"/>
            </w:pPr>
          </w:p>
        </w:tc>
      </w:tr>
    </w:tbl>
    <w:p>
      <w:pPr>
        <w:pStyle w:val="BodyText"/>
      </w:pPr>
      <w:r>
        <w:t xml:space="preserve">All prices are quoted in Saudi Riyals (SAR). Exchange rate reference: 1 USD = 3.75 SAR. This</w:t>
      </w:r>
      <w:r>
        <w:t xml:space="preserve"> </w:t>
      </w:r>
      <w:r>
        <w:rPr>
          <w:bCs/>
          <w:b/>
        </w:rPr>
        <w:t xml:space="preserve">Quotation Estimate</w:t>
      </w:r>
      <w:r>
        <w:t xml:space="preserve"> </w:t>
      </w:r>
      <w:r>
        <w:t xml:space="preserve">is exclusive of any applicable customs duties on imported marine instrumentation.</w:t>
      </w:r>
    </w:p>
    <w:bookmarkEnd w:id="24"/>
    <w:bookmarkStart w:id="25" w:name="payment-terms"/>
    <w:p>
      <w:pPr>
        <w:pStyle w:val="Heading3"/>
      </w:pPr>
      <w:r>
        <w:t xml:space="preserve">4. Payment Terms</w:t>
      </w:r>
    </w:p>
    <w:p>
      <w:pPr>
        <w:numPr>
          <w:ilvl w:val="0"/>
          <w:numId w:val="1002"/>
        </w:numPr>
        <w:pStyle w:val="Compact"/>
      </w:pPr>
      <w:r>
        <w:rPr>
          <w:bCs/>
          <w:b/>
        </w:rPr>
        <w:t xml:space="preserve">Advance Payment:</w:t>
      </w:r>
      <w:r>
        <w:t xml:space="preserve"> </w:t>
      </w:r>
      <w:r>
        <w:t xml:space="preserve">25% upon signed contract and issuance of Purchase Order.</w:t>
      </w:r>
    </w:p>
    <w:p>
      <w:pPr>
        <w:numPr>
          <w:ilvl w:val="0"/>
          <w:numId w:val="1002"/>
        </w:numPr>
        <w:pStyle w:val="Compact"/>
      </w:pPr>
      <w:r>
        <w:rPr>
          <w:bCs/>
          <w:b/>
        </w:rPr>
        <w:t xml:space="preserve">Progress Payments:</w:t>
      </w:r>
      <w:r>
        <w:t xml:space="preserve"> </w:t>
      </w:r>
      <w:r>
        <w:t xml:space="preserve">60% disbursed in four equal quarterly instalments, each subject to acceptance of the quarterly progress report by the</w:t>
      </w:r>
      <w:r>
        <w:t xml:space="preserve"> </w:t>
      </w:r>
      <w:r>
        <w:rPr>
          <w:bCs/>
          <w:b/>
        </w:rPr>
        <w:t xml:space="preserve">Saudi Arabia Riyadh</w:t>
      </w:r>
      <w:r>
        <w:t xml:space="preserve"> </w:t>
      </w:r>
      <w:r>
        <w:t xml:space="preserve">project committee.</w:t>
      </w:r>
    </w:p>
    <w:p>
      <w:pPr>
        <w:numPr>
          <w:ilvl w:val="0"/>
          <w:numId w:val="1002"/>
        </w:numPr>
        <w:pStyle w:val="Compact"/>
      </w:pPr>
      <w:r>
        <w:rPr>
          <w:bCs/>
          <w:b/>
        </w:rPr>
        <w:t xml:space="preserve">Final Payment:</w:t>
      </w:r>
      <w:r>
        <w:t xml:space="preserve"> </w:t>
      </w:r>
      <w:r>
        <w:t xml:space="preserve">15% upon delivery and acceptance of the comprehensive Annual Technical Report and all raw datasets.</w:t>
      </w:r>
    </w:p>
    <w:p>
      <w:pPr>
        <w:numPr>
          <w:ilvl w:val="0"/>
          <w:numId w:val="1002"/>
        </w:numPr>
        <w:pStyle w:val="Compact"/>
      </w:pPr>
      <w:r>
        <w:t xml:space="preserve">Payment shall be made via bank transfer to the account of Marine Science &amp; Environmental Solutions Ltd., Al Rajhi Bank,</w:t>
      </w:r>
      <w:r>
        <w:t xml:space="preserve"> </w:t>
      </w:r>
      <w:r>
        <w:rPr>
          <w:bCs/>
          <w:b/>
        </w:rPr>
        <w:t xml:space="preserve">Saudi Arabia Riyadh</w:t>
      </w:r>
      <w:r>
        <w:t xml:space="preserve"> </w:t>
      </w:r>
      <w:r>
        <w:t xml:space="preserve">branch, within 30 days of invoice date.</w:t>
      </w:r>
    </w:p>
    <w:bookmarkEnd w:id="25"/>
    <w:bookmarkStart w:id="26" w:name="terms-conditions"/>
    <w:p>
      <w:pPr>
        <w:pStyle w:val="Heading3"/>
      </w:pPr>
      <w:r>
        <w:t xml:space="preserve">5. Terms &amp;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sixty (60) calendar days from the date of issue. Beyond this period, pricing may be revised to reflect changes in fuel costs, exchange rates, or equipment availability.</w:t>
      </w:r>
    </w:p>
    <w:p>
      <w:pPr>
        <w:numPr>
          <w:ilvl w:val="0"/>
          <w:numId w:val="1003"/>
        </w:numPr>
        <w:pStyle w:val="Compact"/>
      </w:pPr>
      <w:r>
        <w:t xml:space="preserve">The</w:t>
      </w:r>
      <w:r>
        <w:t xml:space="preserve"> </w:t>
      </w:r>
      <w:r>
        <w:rPr>
          <w:bCs/>
          <w:b/>
        </w:rPr>
        <w:t xml:space="preserve">Oceanographer</w:t>
      </w:r>
      <w:r>
        <w:t xml:space="preserve"> </w:t>
      </w:r>
      <w:r>
        <w:t xml:space="preserve">and all supporting personnel shall comply with all applicable laws and regulations of the Kingdom of Saudi Arabia, including the Saudi Environmental Protection Law, the Marine and Coastal Protection Regulations, and the National Data Protection Authority (NDPA) guidelines for handling sensitive geospatial data.</w:t>
      </w:r>
    </w:p>
    <w:p>
      <w:pPr>
        <w:numPr>
          <w:ilvl w:val="0"/>
          <w:numId w:val="1003"/>
        </w:numPr>
        <w:pStyle w:val="Compact"/>
      </w:pPr>
      <w:r>
        <w:t xml:space="preserve">All data, reports, and intellectual property generated under this engagement shall become the property of the contracting authority upon full payment. The</w:t>
      </w:r>
      <w:r>
        <w:t xml:space="preserve"> </w:t>
      </w:r>
      <w:r>
        <w:rPr>
          <w:bCs/>
          <w:b/>
        </w:rPr>
        <w:t xml:space="preserve">Oceanographer</w:t>
      </w:r>
      <w:r>
        <w:t xml:space="preserve"> </w:t>
      </w:r>
      <w:r>
        <w:t xml:space="preserve">retains the right to publish anonymised scientific findings in peer-reviewed journals with prior written consent.</w:t>
      </w:r>
    </w:p>
    <w:p>
      <w:pPr>
        <w:numPr>
          <w:ilvl w:val="0"/>
          <w:numId w:val="1003"/>
        </w:numPr>
        <w:pStyle w:val="Compact"/>
      </w:pPr>
      <w:r>
        <w:t xml:space="preserve">Force majeure events, including but not limited to severe marine weather, government-imposed travel restrictions, or pandemic-related disruptions, shall extend the project timeline on a day-for-day basis without penalty to either party.</w:t>
      </w:r>
    </w:p>
    <w:p>
      <w:pPr>
        <w:numPr>
          <w:ilvl w:val="0"/>
          <w:numId w:val="1003"/>
        </w:numPr>
        <w:pStyle w:val="Compact"/>
      </w:pPr>
      <w:r>
        <w:t xml:space="preserve">Disputes arising from this</w:t>
      </w:r>
      <w:r>
        <w:t xml:space="preserve"> </w:t>
      </w:r>
      <w:r>
        <w:rPr>
          <w:bCs/>
          <w:b/>
        </w:rPr>
        <w:t xml:space="preserve">Quotation Estimate</w:t>
      </w:r>
      <w:r>
        <w:t xml:space="preserve"> </w:t>
      </w:r>
      <w:r>
        <w:t xml:space="preserve">and the resulting contract shall be resolved through arbitration in</w:t>
      </w:r>
      <w:r>
        <w:t xml:space="preserve"> </w:t>
      </w:r>
      <w:r>
        <w:rPr>
          <w:bCs/>
          <w:b/>
        </w:rPr>
        <w:t xml:space="preserve">Saudi Arabia Riyadh</w:t>
      </w:r>
      <w:r>
        <w:t xml:space="preserve"> </w:t>
      </w:r>
      <w:r>
        <w:t xml:space="preserve">in accordance with the rules of the Saudi Center for Commercial Arbitration (SCCA).</w:t>
      </w:r>
    </w:p>
    <w:p>
      <w:pPr>
        <w:numPr>
          <w:ilvl w:val="0"/>
          <w:numId w:val="1003"/>
        </w:numPr>
        <w:pStyle w:val="Compact"/>
      </w:pPr>
      <w:r>
        <w:t xml:space="preserve">Marine Science &amp; Environmental Solutions Ltd. shall maintain professional indemnity insurance of not less than SAR 5,000,000 and marine liability insurance for all vessels and equipment used in the performance of this contract.</w:t>
      </w:r>
    </w:p>
    <w:bookmarkEnd w:id="26"/>
    <w:bookmarkStart w:id="27" w:name="acceptance-authorisation"/>
    <w:p>
      <w:pPr>
        <w:pStyle w:val="Heading3"/>
      </w:pPr>
      <w:r>
        <w:t xml:space="preserve">6. Acceptance &amp; Authorisation</w:t>
      </w:r>
    </w:p>
    <w:p>
      <w:pPr>
        <w:pStyle w:val="FirstParagraph"/>
      </w:pPr>
      <w:r>
        <w:t xml:space="preserve">By signing below, the contracting authority acknowledges receipt of this</w:t>
      </w:r>
      <w:r>
        <w:t xml:space="preserve"> </w:t>
      </w:r>
      <w:r>
        <w:rPr>
          <w:bCs/>
          <w:b/>
        </w:rPr>
        <w:t xml:space="preserve">Quotation Estimate</w:t>
      </w:r>
      <w:r>
        <w:t xml:space="preserve"> </w:t>
      </w:r>
      <w:r>
        <w:t xml:space="preserve">and agrees to the scope of work, pricing, and terms set forth herein. The</w:t>
      </w:r>
      <w:r>
        <w:t xml:space="preserve"> </w:t>
      </w:r>
      <w:r>
        <w:rPr>
          <w:bCs/>
          <w:b/>
        </w:rPr>
        <w:t xml:space="preserve">Oceanographer</w:t>
      </w:r>
      <w:r>
        <w:t xml:space="preserve"> </w:t>
      </w:r>
      <w:r>
        <w:t xml:space="preserve">engagement shall commence within fifteen (15) business days of the effective contract date.</w:t>
      </w:r>
    </w:p>
    <w:p>
      <w:pPr>
        <w:pStyle w:val="BodyText"/>
      </w:pPr>
      <w:r>
        <w:rPr>
          <w:bCs/>
          <w:b/>
        </w:rPr>
        <w:t xml:space="preserve">For and on behalf of the Contracting Authority:</w:t>
      </w:r>
    </w:p>
    <w:p>
      <w:pPr>
        <w:pStyle w:val="BodyText"/>
      </w:pPr>
      <w:r>
        <w:t xml:space="preserve">Ministry of Environment, Water and Agriculture</w:t>
      </w:r>
    </w:p>
    <w:p>
      <w:pPr>
        <w:pStyle w:val="BodyText"/>
      </w:pPr>
      <w:r>
        <w:rPr>
          <w:bCs/>
          <w:b/>
        </w:rPr>
        <w:t xml:space="preserve">Saudi Arabia Riyadh</w:t>
      </w:r>
    </w:p>
    <w:p>
      <w:pPr>
        <w:pStyle w:val="BodyText"/>
      </w:pPr>
      <w:r>
        <w:t xml:space="preserve">Name / Title / Signature / Date</w:t>
      </w:r>
    </w:p>
    <w:p>
      <w:pPr>
        <w:pStyle w:val="BodyText"/>
      </w:pPr>
      <w:r>
        <w:rPr>
          <w:bCs/>
          <w:b/>
        </w:rPr>
        <w:t xml:space="preserve">For and on behalf of Marine Science &amp; Environmental Solutions Ltd.:</w:t>
      </w:r>
    </w:p>
    <w:p>
      <w:pPr>
        <w:pStyle w:val="BodyText"/>
      </w:pPr>
      <w:r>
        <w:t xml:space="preserve">Authorised Signatory</w:t>
      </w:r>
    </w:p>
    <w:p>
      <w:pPr>
        <w:pStyle w:val="BodyText"/>
      </w:pPr>
      <w:r>
        <w:rPr>
          <w:bCs/>
          <w:b/>
        </w:rPr>
        <w:t xml:space="preserve">Saudi Arabia Riyadh</w:t>
      </w:r>
    </w:p>
    <w:p>
      <w:pPr>
        <w:pStyle w:val="BodyText"/>
      </w:pPr>
      <w:r>
        <w:t xml:space="preserve">Name / Title / Signature / Date</w:t>
      </w:r>
    </w:p>
    <w:p>
      <w:pPr>
        <w:pStyle w:val="BodyText"/>
      </w:pPr>
      <w:r>
        <w:t xml:space="preserve">— End of</w:t>
      </w:r>
      <w:r>
        <w:t xml:space="preserve"> </w:t>
      </w:r>
      <w:r>
        <w:rPr>
          <w:bCs/>
          <w:b/>
        </w:rPr>
        <w:t xml:space="preserve">Quotation Estimate</w:t>
      </w:r>
      <w:r>
        <w:t xml:space="preserve"> </w:t>
      </w:r>
      <w:r>
        <w:t xml:space="preserve">QTE-2025-OCE-0472 —</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Services - Saudi Arabia Riyadh</dc:title>
  <dc:creator/>
  <dc:language>en</dc:language>
  <cp:keywords/>
  <dcterms:created xsi:type="dcterms:W3CDTF">2026-10-10T04:12:29Z</dcterms:created>
  <dcterms:modified xsi:type="dcterms:W3CDTF">2026-10-10T04:12:29Z</dcterms:modified>
</cp:coreProperties>
</file>

<file path=docProps/custom.xml><?xml version="1.0" encoding="utf-8"?>
<Properties xmlns="http://schemas.openxmlformats.org/officeDocument/2006/custom-properties" xmlns:vt="http://schemas.openxmlformats.org/officeDocument/2006/docPropsVTypes"/>
</file>