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quotation-estimate"/>
    <w:p>
      <w:pPr>
        <w:pStyle w:val="Heading1"/>
      </w:pPr>
      <w:r>
        <w:t xml:space="preserve">QUOTATION ESTIMATE</w:t>
      </w:r>
    </w:p>
    <w:p>
      <w:pPr>
        <w:pStyle w:val="FirstParagraph"/>
      </w:pPr>
      <w:r>
        <w:t xml:space="preserve">Professional Oceanographer Services</w:t>
      </w:r>
    </w:p>
    <w:p>
      <w:pPr>
        <w:pStyle w:val="BodyText"/>
      </w:pPr>
      <w:r>
        <w:t xml:space="preserve">Marine Environmental Consulting &amp; Research Division</w:t>
      </w:r>
    </w:p>
    <w:p>
      <w:pPr>
        <w:pStyle w:val="BodyText"/>
      </w:pPr>
      <w:r>
        <w:t xml:space="preserve">1200 Biscayne Boulevard, Suite 450, Miami, FL 33132, United States Miami</w:t>
      </w:r>
    </w:p>
    <w:p>
      <w:pPr>
        <w:pStyle w:val="BodyText"/>
      </w:pPr>
      <w:r>
        <w:t xml:space="preserve">Phone: (305) 555-0187 | Email: estimates@oceanmiamiconsulting.com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QTE-2025-OCE-0472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Atlantic Coastal Development Authority, 800 Brickell Avenue, Miami, FL 33131</w:t>
            </w:r>
          </w:p>
        </w:tc>
      </w:tr>
      <w:tr>
        <w:tc>
          <w:tcPr/>
          <w:p>
            <w:pPr>
              <w:pStyle w:val="Compact"/>
              <w:jc w:val="left"/>
            </w:pPr>
            <w:r>
              <w:t xml:space="preserve">Project Reference:</w:t>
            </w:r>
          </w:p>
        </w:tc>
        <w:tc>
          <w:tcPr/>
          <w:p>
            <w:pPr>
              <w:pStyle w:val="Compact"/>
              <w:jc w:val="left"/>
            </w:pPr>
            <w:r>
              <w:t xml:space="preserve">ACDA-2025-0091 – Biscayne Bay Marine Ecosystem Assessment</w:t>
            </w:r>
          </w:p>
        </w:tc>
      </w:tr>
      <w:tr>
        <w:tc>
          <w:tcPr/>
          <w:p>
            <w:pPr>
              <w:pStyle w:val="Compact"/>
              <w:jc w:val="left"/>
            </w:pPr>
            <w:r>
              <w:t xml:space="preserve">Prepared By:</w:t>
            </w:r>
          </w:p>
        </w:tc>
        <w:tc>
          <w:tcPr/>
          <w:p>
            <w:pPr>
              <w:pStyle w:val="Compact"/>
              <w:jc w:val="left"/>
            </w:pPr>
            <w:r>
              <w:t xml:space="preserve">Dr. Elena Vasquez, Ph.D. in Oceanography, Lead Oceanographer</w:t>
            </w:r>
          </w:p>
        </w:tc>
      </w:tr>
      <w:tr>
        <w:tc>
          <w:tcPr/>
          <w:p>
            <w:pPr>
              <w:pStyle w:val="Compact"/>
              <w:jc w:val="left"/>
            </w:pPr>
            <w:r>
              <w:t xml:space="preserve">Currency:</w:t>
            </w:r>
          </w:p>
        </w:tc>
        <w:tc>
          <w:tcPr/>
          <w:p>
            <w:pPr>
              <w:pStyle w:val="Compact"/>
              <w:jc w:val="left"/>
            </w:pPr>
            <w:r>
              <w:t xml:space="preserve">United States Dollars (USD)</w:t>
            </w:r>
          </w:p>
        </w:tc>
      </w:tr>
    </w:tbl>
    <w:bookmarkStart w:id="21" w:name="executive-summary"/>
    <w:p>
      <w:pPr>
        <w:pStyle w:val="Heading2"/>
      </w:pPr>
      <w:r>
        <w:t xml:space="preserve">1. Executive Summary</w:t>
      </w:r>
    </w:p>
    <w:p>
      <w:pPr>
        <w:pStyle w:val="FirstParagraph"/>
      </w:pPr>
      <w:r>
        <w:t xml:space="preserve">This Quotation Estimate is formally submitted to the Atlantic Coastal Development Authority for the engagement of a senior Oceanographer and supporting marine science team to conduct a comprehensive marine ecosystem assessment of Biscayne Bay and its adjacent coastal waters. The proposed scope of work aligns with the regulatory requirements established by the Florida Department of Environmental Protection and the United States Environmental Protection Agency. All services described in this Quotation Estimate will be performed within the jurisdiction of United States Miami and the surrounding coastal waters of Miami-Dade County, ensuring full compliance with local, state, and federal environmental statutes.</w:t>
      </w:r>
    </w:p>
    <w:bookmarkEnd w:id="21"/>
    <w:bookmarkStart w:id="22" w:name="scope-of-work-oceanographer-services"/>
    <w:p>
      <w:pPr>
        <w:pStyle w:val="Heading2"/>
      </w:pPr>
      <w:r>
        <w:t xml:space="preserve">2. Scope of Work – Oceanographer Services</w:t>
      </w:r>
    </w:p>
    <w:p>
      <w:pPr>
        <w:pStyle w:val="FirstParagraph"/>
      </w:pPr>
      <w:r>
        <w:t xml:space="preserve">The Lead Oceanographer, Dr. Elena Vasquez, will oversee all phases of the marine assessment. The Oceanographer will be responsible for designing the sampling protocol, supervising field operations, interpreting hydrographic and biological data, and delivering the final technical report. The scope encompasses the following deliverables:</w:t>
      </w:r>
    </w:p>
    <w:p>
      <w:pPr>
        <w:numPr>
          <w:ilvl w:val="0"/>
          <w:numId w:val="1001"/>
        </w:numPr>
        <w:pStyle w:val="Compact"/>
      </w:pPr>
      <w:r>
        <w:t xml:space="preserve">Design and execution of a 12-station hydrographic survey across Biscayne Bay, including measurements of salinity, dissolved oxygen, temperature, pH, turbidity, and nutrient concentrations (nitrate, phosphate, silicate).</w:t>
      </w:r>
    </w:p>
    <w:p>
      <w:pPr>
        <w:numPr>
          <w:ilvl w:val="0"/>
          <w:numId w:val="1001"/>
        </w:numPr>
        <w:pStyle w:val="Compact"/>
      </w:pPr>
      <w:r>
        <w:t xml:space="preserve">Collection and laboratory analysis of 48 water samples for heavy metals, polycyclic aromatic hydrocarbons (PAHs), and microplastic particulates.</w:t>
      </w:r>
    </w:p>
    <w:p>
      <w:pPr>
        <w:numPr>
          <w:ilvl w:val="0"/>
          <w:numId w:val="1001"/>
        </w:numPr>
        <w:pStyle w:val="Compact"/>
      </w:pPr>
      <w:r>
        <w:t xml:space="preserve">Benthic habitat mapping using multibeam sonar and underwater visual census across 15 designated transect sites.</w:t>
      </w:r>
    </w:p>
    <w:p>
      <w:pPr>
        <w:numPr>
          <w:ilvl w:val="0"/>
          <w:numId w:val="1001"/>
        </w:numPr>
        <w:pStyle w:val="Compact"/>
      </w:pPr>
      <w:r>
        <w:t xml:space="preserve">Assessment of seagrass meadow health, coral reef condition, and mangrove forest integrity in the United States Miami coastal corridor.</w:t>
      </w:r>
    </w:p>
    <w:p>
      <w:pPr>
        <w:numPr>
          <w:ilvl w:val="0"/>
          <w:numId w:val="1001"/>
        </w:numPr>
        <w:pStyle w:val="Compact"/>
      </w:pPr>
      <w:r>
        <w:t xml:space="preserve">Preparation of a 120-page technical report with GIS-based spatial analysis, statistical modeling, and actionable remediation recommendations.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Lead Oceanographer – Project Management &amp; Protocol Design</w:t>
            </w:r>
          </w:p>
        </w:tc>
        <w:tc>
          <w:tcPr/>
          <w:p>
            <w:pPr>
              <w:pStyle w:val="Compact"/>
              <w:jc w:val="left"/>
            </w:pPr>
            <w:r>
              <w:t xml:space="preserve">40 hours</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Field Hydrographic Survey – Vessel, Crew &amp; Equipment (R/V Miami Horizon)</w:t>
            </w:r>
          </w:p>
        </w:tc>
        <w:tc>
          <w:tcPr/>
          <w:p>
            <w:pPr>
              <w:pStyle w:val="Compact"/>
              <w:jc w:val="left"/>
            </w:pPr>
            <w:r>
              <w:t xml:space="preserve">14 days</w:t>
            </w:r>
          </w:p>
        </w:tc>
        <w:tc>
          <w:tcPr/>
          <w:p>
            <w:pPr>
              <w:pStyle w:val="Compact"/>
              <w:jc w:val="left"/>
            </w:pPr>
            <w:r>
              <w:t xml:space="preserve">$3,200.00</w:t>
            </w:r>
          </w:p>
        </w:tc>
        <w:tc>
          <w:tcPr/>
          <w:p>
            <w:pPr>
              <w:pStyle w:val="Compact"/>
              <w:jc w:val="left"/>
            </w:pPr>
            <w:r>
              <w:t xml:space="preserve">$44,800.00</w:t>
            </w:r>
          </w:p>
        </w:tc>
      </w:tr>
      <w:tr>
        <w:tc>
          <w:tcPr/>
          <w:p>
            <w:pPr>
              <w:pStyle w:val="Compact"/>
              <w:jc w:val="left"/>
            </w:pPr>
            <w:r>
              <w:t xml:space="preserve">03</w:t>
            </w:r>
          </w:p>
        </w:tc>
        <w:tc>
          <w:tcPr/>
          <w:p>
            <w:pPr>
              <w:pStyle w:val="Compact"/>
              <w:jc w:val="left"/>
            </w:pPr>
            <w:r>
              <w:t xml:space="preserve">Laboratory Analysis – Water Chemistry, Heavy Metals &amp; PAHs (48 samples)</w:t>
            </w:r>
          </w:p>
        </w:tc>
        <w:tc>
          <w:tcPr/>
          <w:p>
            <w:pPr>
              <w:pStyle w:val="Compact"/>
              <w:jc w:val="left"/>
            </w:pPr>
            <w:r>
              <w:t xml:space="preserve">48 samples</w:t>
            </w:r>
          </w:p>
        </w:tc>
        <w:tc>
          <w:tcPr/>
          <w:p>
            <w:pPr>
              <w:pStyle w:val="Compact"/>
              <w:jc w:val="left"/>
            </w:pPr>
            <w:r>
              <w:t xml:space="preserve">$425.00</w:t>
            </w:r>
          </w:p>
        </w:tc>
        <w:tc>
          <w:tcPr/>
          <w:p>
            <w:pPr>
              <w:pStyle w:val="Compact"/>
              <w:jc w:val="left"/>
            </w:pPr>
            <w:r>
              <w:t xml:space="preserve">$20,400.00</w:t>
            </w:r>
          </w:p>
        </w:tc>
      </w:tr>
      <w:tr>
        <w:tc>
          <w:tcPr/>
          <w:p>
            <w:pPr>
              <w:pStyle w:val="Compact"/>
              <w:jc w:val="left"/>
            </w:pPr>
            <w:r>
              <w:t xml:space="preserve">04</w:t>
            </w:r>
          </w:p>
        </w:tc>
        <w:tc>
          <w:tcPr/>
          <w:p>
            <w:pPr>
              <w:pStyle w:val="Compact"/>
              <w:jc w:val="left"/>
            </w:pPr>
            <w:r>
              <w:t xml:space="preserve">Microplastic Particulate Analysis – Advanced Spectroscopy</w:t>
            </w:r>
          </w:p>
        </w:tc>
        <w:tc>
          <w:tcPr/>
          <w:p>
            <w:pPr>
              <w:pStyle w:val="Compact"/>
              <w:jc w:val="left"/>
            </w:pPr>
            <w:r>
              <w:t xml:space="preserve">24 samples</w:t>
            </w:r>
          </w:p>
        </w:tc>
        <w:tc>
          <w:tcPr/>
          <w:p>
            <w:pPr>
              <w:pStyle w:val="Compact"/>
              <w:jc w:val="left"/>
            </w:pPr>
            <w:r>
              <w:t xml:space="preserve">$680.00</w:t>
            </w:r>
          </w:p>
        </w:tc>
        <w:tc>
          <w:tcPr/>
          <w:p>
            <w:pPr>
              <w:pStyle w:val="Compact"/>
              <w:jc w:val="left"/>
            </w:pPr>
            <w:r>
              <w:t xml:space="preserve">$16,320.00</w:t>
            </w:r>
          </w:p>
        </w:tc>
      </w:tr>
      <w:tr>
        <w:tc>
          <w:tcPr/>
          <w:p>
            <w:pPr>
              <w:pStyle w:val="Compact"/>
              <w:jc w:val="left"/>
            </w:pPr>
            <w:r>
              <w:t xml:space="preserve">05</w:t>
            </w:r>
          </w:p>
        </w:tc>
        <w:tc>
          <w:tcPr/>
          <w:p>
            <w:pPr>
              <w:pStyle w:val="Compact"/>
              <w:jc w:val="left"/>
            </w:pPr>
            <w:r>
              <w:t xml:space="preserve">Benthic Habitat Mapping – Multibeam Sonar &amp; Underwater Visual Census</w:t>
            </w:r>
          </w:p>
        </w:tc>
        <w:tc>
          <w:tcPr/>
          <w:p>
            <w:pPr>
              <w:pStyle w:val="Compact"/>
              <w:jc w:val="left"/>
            </w:pPr>
            <w:r>
              <w:t xml:space="preserve">15 transects</w:t>
            </w:r>
          </w:p>
        </w:tc>
        <w:tc>
          <w:tcPr/>
          <w:p>
            <w:pPr>
              <w:pStyle w:val="Compact"/>
              <w:jc w:val="left"/>
            </w:pPr>
            <w:r>
              <w:t xml:space="preserve">$1,850.00</w:t>
            </w:r>
          </w:p>
        </w:tc>
        <w:tc>
          <w:tcPr/>
          <w:p>
            <w:pPr>
              <w:pStyle w:val="Compact"/>
              <w:jc w:val="left"/>
            </w:pPr>
            <w:r>
              <w:t xml:space="preserve">$27,750.00</w:t>
            </w:r>
          </w:p>
        </w:tc>
      </w:tr>
      <w:tr>
        <w:tc>
          <w:tcPr/>
          <w:p>
            <w:pPr>
              <w:pStyle w:val="Compact"/>
              <w:jc w:val="left"/>
            </w:pPr>
            <w:r>
              <w:t xml:space="preserve">06</w:t>
            </w:r>
          </w:p>
        </w:tc>
        <w:tc>
          <w:tcPr/>
          <w:p>
            <w:pPr>
              <w:pStyle w:val="Compact"/>
              <w:jc w:val="left"/>
            </w:pPr>
            <w:r>
              <w:t xml:space="preserve">Seagrass, Coral &amp; Mangrove Condition Assessment – Specialist Dives</w:t>
            </w:r>
          </w:p>
        </w:tc>
        <w:tc>
          <w:tcPr/>
          <w:p>
            <w:pPr>
              <w:pStyle w:val="Compact"/>
              <w:jc w:val="left"/>
            </w:pPr>
            <w:r>
              <w:t xml:space="preserve">30 dive hours</w:t>
            </w:r>
          </w:p>
        </w:tc>
        <w:tc>
          <w:tcPr/>
          <w:p>
            <w:pPr>
              <w:pStyle w:val="Compact"/>
              <w:jc w:val="left"/>
            </w:pPr>
            <w:r>
              <w:t xml:space="preserve">$310.00</w:t>
            </w:r>
          </w:p>
        </w:tc>
        <w:tc>
          <w:tcPr/>
          <w:p>
            <w:pPr>
              <w:pStyle w:val="Compact"/>
              <w:jc w:val="left"/>
            </w:pPr>
            <w:r>
              <w:t xml:space="preserve">$9,300.00</w:t>
            </w:r>
          </w:p>
        </w:tc>
      </w:tr>
      <w:tr>
        <w:tc>
          <w:tcPr/>
          <w:p>
            <w:pPr>
              <w:pStyle w:val="Compact"/>
              <w:jc w:val="left"/>
            </w:pPr>
            <w:r>
              <w:t xml:space="preserve">07</w:t>
            </w:r>
          </w:p>
        </w:tc>
        <w:tc>
          <w:tcPr/>
          <w:p>
            <w:pPr>
              <w:pStyle w:val="Compact"/>
              <w:jc w:val="left"/>
            </w:pPr>
            <w:r>
              <w:t xml:space="preserve">GIS Spatial Analysis &amp; Statistical Modeling</w:t>
            </w:r>
          </w:p>
        </w:tc>
        <w:tc>
          <w:tcPr/>
          <w:p>
            <w:pPr>
              <w:pStyle w:val="Compact"/>
              <w:jc w:val="left"/>
            </w:pPr>
            <w:r>
              <w:t xml:space="preserve">60 hours</w:t>
            </w:r>
          </w:p>
        </w:tc>
        <w:tc>
          <w:tcPr/>
          <w:p>
            <w:pPr>
              <w:pStyle w:val="Compact"/>
              <w:jc w:val="left"/>
            </w:pPr>
            <w:r>
              <w:t xml:space="preserve">$195.00</w:t>
            </w:r>
          </w:p>
        </w:tc>
        <w:tc>
          <w:tcPr/>
          <w:p>
            <w:pPr>
              <w:pStyle w:val="Compact"/>
              <w:jc w:val="left"/>
            </w:pPr>
            <w:r>
              <w:t xml:space="preserve">$11,700.00</w:t>
            </w:r>
          </w:p>
        </w:tc>
      </w:tr>
      <w:tr>
        <w:tc>
          <w:tcPr/>
          <w:p>
            <w:pPr>
              <w:pStyle w:val="Compact"/>
              <w:jc w:val="left"/>
            </w:pPr>
            <w:r>
              <w:t xml:space="preserve">08</w:t>
            </w:r>
          </w:p>
        </w:tc>
        <w:tc>
          <w:tcPr/>
          <w:p>
            <w:pPr>
              <w:pStyle w:val="Compact"/>
              <w:jc w:val="left"/>
            </w:pPr>
            <w:r>
              <w:t xml:space="preserve">Technical Report Writing, Peer Review &amp; Final Presentation</w:t>
            </w:r>
          </w:p>
        </w:tc>
        <w:tc>
          <w:tcPr/>
          <w:p>
            <w:pPr>
              <w:pStyle w:val="Compact"/>
              <w:jc w:val="left"/>
            </w:pPr>
            <w:r>
              <w:t xml:space="preserve">1 report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09</w:t>
            </w:r>
          </w:p>
        </w:tc>
        <w:tc>
          <w:tcPr/>
          <w:p>
            <w:pPr>
              <w:pStyle w:val="Compact"/>
              <w:jc w:val="left"/>
            </w:pPr>
            <w:r>
              <w:t xml:space="preserve">Permits, Insurance &amp; Regulatory Filing Fees (United States Miami jurisdiction)</w:t>
            </w:r>
          </w:p>
        </w:tc>
        <w:tc>
          <w:tcPr/>
          <w:p>
            <w:pPr>
              <w:pStyle w:val="Compact"/>
              <w:jc w:val="left"/>
            </w:pPr>
            <w:r>
              <w:t xml:space="preserve">Flat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Contingency &amp; Unforeseen Field Conditions (10%)</w:t>
            </w:r>
          </w:p>
        </w:tc>
        <w:tc>
          <w:tcPr/>
          <w:p>
            <w:pPr>
              <w:pStyle w:val="Compact"/>
              <w:jc w:val="left"/>
            </w:pPr>
            <w:r>
              <w:t xml:space="preserve">Flat</w:t>
            </w:r>
          </w:p>
        </w:tc>
        <w:tc>
          <w:tcPr/>
          <w:p>
            <w:pPr>
              <w:pStyle w:val="Compact"/>
              <w:jc w:val="left"/>
            </w:pPr>
            <w:r>
              <w:t xml:space="preserve">—</w:t>
            </w:r>
          </w:p>
        </w:tc>
        <w:tc>
          <w:tcPr/>
          <w:p>
            <w:pPr>
              <w:pStyle w:val="Compact"/>
              <w:jc w:val="left"/>
            </w:pPr>
            <w:r>
              <w:t xml:space="preserve">$15,257.00</w:t>
            </w:r>
          </w:p>
        </w:tc>
      </w:tr>
      <w:tr>
        <w:tc>
          <w:tcPr>
            <w:gridSpan w:val="4"/>
          </w:tcPr>
          <w:p>
            <w:pPr>
              <w:pStyle w:val="Compact"/>
              <w:jc w:val="left"/>
            </w:pPr>
            <w:r>
              <w:t xml:space="preserve">TOTAL QUOTATION ESTIMATE AMOUNT</w:t>
            </w:r>
          </w:p>
        </w:tc>
        <w:tc>
          <w:tcPr/>
          <w:p>
            <w:pPr>
              <w:pStyle w:val="Compact"/>
              <w:jc w:val="left"/>
            </w:pPr>
            <w:r>
              <w:t xml:space="preserve">$172,827.00</w:t>
            </w:r>
          </w:p>
        </w:tc>
      </w:tr>
    </w:tbl>
    <w:bookmarkEnd w:id="23"/>
    <w:bookmarkStart w:id="24" w:name="project-timeline"/>
    <w:p>
      <w:pPr>
        <w:pStyle w:val="Heading2"/>
      </w:pPr>
      <w:r>
        <w:t xml:space="preserve">4. Project Timeline</w:t>
      </w:r>
    </w:p>
    <w:p>
      <w:pPr>
        <w:pStyle w:val="FirstParagraph"/>
      </w:pPr>
      <w:r>
        <w:t xml:space="preserve">The Oceanographer and field team will mobilize within 10 business days of contract execution. The full assessment is projected to be completed within 14 weeks from the start date, with the final technical report and presentation to the Atlantic Coastal Development Authority delivered no later than Week 16. All fieldwork will be conducted in compliance with the operating hours and environmental protection zones designated for United States Miami coastal waters.</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all rates and availability must be reconfirmed in writing.</w:t>
      </w:r>
    </w:p>
    <w:p>
      <w:pPr>
        <w:numPr>
          <w:ilvl w:val="0"/>
          <w:numId w:val="1002"/>
        </w:numPr>
        <w:pStyle w:val="Compact"/>
      </w:pPr>
      <w:r>
        <w:t xml:space="preserve">Payment terms: 30% upon contract signing, 40% upon completion of fieldwork, and 30% upon delivery and acceptance of the final technical report. All payments are due in United States Dollars (USD) via wire transfer to the account designated on the invoice.</w:t>
      </w:r>
    </w:p>
    <w:p>
      <w:pPr>
        <w:numPr>
          <w:ilvl w:val="0"/>
          <w:numId w:val="1002"/>
        </w:numPr>
        <w:pStyle w:val="Compact"/>
      </w:pPr>
      <w:r>
        <w:t xml:space="preserve">The Oceanographer and all supporting personnel shall maintain professional liability insurance with a minimum coverage of $2,000,000 per occurrence, valid throughout the project duration in the United States Miami area.</w:t>
      </w:r>
    </w:p>
    <w:p>
      <w:pPr>
        <w:numPr>
          <w:ilvl w:val="0"/>
          <w:numId w:val="1002"/>
        </w:numPr>
        <w:pStyle w:val="Compact"/>
      </w:pPr>
      <w:r>
        <w:t xml:space="preserve">All data, reports, and intellectual property generated under this engagement shall become the sole property of the Atlantic Coastal Development Authority upon final payment.</w:t>
      </w:r>
    </w:p>
    <w:p>
      <w:pPr>
        <w:numPr>
          <w:ilvl w:val="0"/>
          <w:numId w:val="1002"/>
        </w:numPr>
        <w:pStyle w:val="Compact"/>
      </w:pPr>
      <w:r>
        <w:t xml:space="preserve">Any change in scope exceeding 10% of the original Quotation Estimate value requires a written change order signed by both parties before additional work commences.</w:t>
      </w:r>
    </w:p>
    <w:p>
      <w:pPr>
        <w:numPr>
          <w:ilvl w:val="0"/>
          <w:numId w:val="1002"/>
        </w:numPr>
        <w:pStyle w:val="Compact"/>
      </w:pPr>
      <w:r>
        <w:t xml:space="preserve">This Quotation Estimate does not constitute a binding contract until a formal Statement of Work (SOW) is executed by authorized representatives of both parties.</w:t>
      </w:r>
    </w:p>
    <w:p>
      <w:pPr>
        <w:numPr>
          <w:ilvl w:val="0"/>
          <w:numId w:val="1002"/>
        </w:numPr>
        <w:pStyle w:val="Compact"/>
      </w:pPr>
      <w:r>
        <w:t xml:space="preserve">Governing law: The State of Florida, United States. Any disputes shall be resolved through arbitration in Miami-Dade County, United States Miami.</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the Oceanographer and marine science team in United States Miami.</w:t>
      </w:r>
    </w:p>
    <w:p>
      <w:pPr>
        <w:pStyle w:val="BodyText"/>
      </w:pPr>
      <w:r>
        <w:rPr>
          <w:bCs/>
          <w:b/>
        </w:rPr>
        <w:t xml:space="preserve">For: Atlantic Coastal Development Authority</w:t>
      </w:r>
    </w:p>
    <w:p>
      <w:pPr>
        <w:pStyle w:val="BodyText"/>
      </w:pPr>
      <w:r>
        <w:t xml:space="preserve">Authorized Representative</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w:t>
      </w:r>
    </w:p>
    <w:p>
      <w:pPr>
        <w:pStyle w:val="BodyText"/>
      </w:pPr>
      <w:r>
        <w:t xml:space="preserve">Date: ____________________________</w:t>
      </w:r>
    </w:p>
    <w:p>
      <w:pPr>
        <w:pStyle w:val="BodyText"/>
      </w:pPr>
      <w:r>
        <w:rPr>
          <w:bCs/>
          <w:b/>
        </w:rPr>
        <w:t xml:space="preserve">For: Ocean Miami Consulting LLC</w:t>
      </w:r>
    </w:p>
    <w:p>
      <w:pPr>
        <w:pStyle w:val="BodyText"/>
      </w:pPr>
      <w:r>
        <w:t xml:space="preserve">Dr. Elena Vasquez, Lead Oceanographer</w:t>
      </w:r>
    </w:p>
    <w:p>
      <w:pPr>
        <w:pStyle w:val="BodyText"/>
      </w:pPr>
      <w:r>
        <w:t xml:space="preserve">Name: Elena Vasquez, Ph.D.</w:t>
      </w:r>
    </w:p>
    <w:p>
      <w:pPr>
        <w:pStyle w:val="BodyText"/>
      </w:pPr>
      <w:r>
        <w:t xml:space="preserve">Title: Principal Oceanographer</w:t>
      </w:r>
    </w:p>
    <w:p>
      <w:pPr>
        <w:pStyle w:val="BodyText"/>
      </w:pPr>
      <w:r>
        <w:t xml:space="preserve">Signature: ________________________</w:t>
      </w:r>
    </w:p>
    <w:p>
      <w:pPr>
        <w:pStyle w:val="BodyText"/>
      </w:pPr>
      <w:r>
        <w:t xml:space="preserve">Date: ____________________________</w:t>
      </w:r>
    </w:p>
    <w:p>
      <w:pPr>
        <w:pStyle w:val="BodyText"/>
      </w:pPr>
      <w:r>
        <w:t xml:space="preserve">Ocean Miami Consulting LLC | 1200 Biscayne Boulevard, Suite 450, Miami, FL 33132, United States Miami</w:t>
      </w:r>
    </w:p>
    <w:p>
      <w:pPr>
        <w:pStyle w:val="BodyText"/>
      </w:pPr>
      <w:r>
        <w:t xml:space="preserve">Florida Professional Services License No. PS-2025-8841 | EIN: 82-4471903</w:t>
      </w:r>
    </w:p>
    <w:p>
      <w:pPr>
        <w:pStyle w:val="BodyText"/>
      </w:pPr>
      <w:r>
        <w:t xml:space="preserve">This Quotation Estimate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United States Miami</dc:title>
  <dc:creator/>
  <dc:language>en</dc:language>
  <cp:keywords/>
  <dcterms:created xsi:type="dcterms:W3CDTF">2026-10-10T03:45:21Z</dcterms:created>
  <dcterms:modified xsi:type="dcterms:W3CDTF">2026-10-10T03:45:21Z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