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Brussels Vision &amp; Eye Care Centre</w:t>
      </w:r>
    </w:p>
    <w:p>
      <w:pPr>
        <w:pStyle w:val="BodyText"/>
      </w:pPr>
      <w:r>
        <w:t xml:space="preserve">Ophthalmologist Services | Rue de la Loi 245, 1040 Brussels, Belgium</w:t>
      </w:r>
    </w:p>
    <w:p>
      <w:pPr>
        <w:pStyle w:val="BodyText"/>
      </w:pPr>
      <w:r>
        <w:t xml:space="preserve">Tel: +32 2 555 0142 | Email: info@brusselsvision.be | VAT BE 0789.456.321</w:t>
      </w:r>
    </w:p>
    <w:bookmarkEnd w:id="20"/>
    <w:p>
      <w:pPr>
        <w:pStyle w:val="BodyText"/>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Mr. Jean-Pierre Van den Berghe</w:t>
      </w:r>
    </w:p>
    <w:p>
      <w:pPr>
        <w:pStyle w:val="BodyText"/>
      </w:pPr>
      <w:r>
        <w:rPr>
          <w:bCs/>
          <w:b/>
        </w:rPr>
        <w:t xml:space="preserve">Client Address:</w:t>
      </w:r>
      <w:r>
        <w:t xml:space="preserve"> </w:t>
      </w:r>
      <w:r>
        <w:t xml:space="preserve">Avenue Louise 88, 1050 Brussels, Belgium</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Brussels Vision &amp; Eye Care Centre, a licensed and accredited ophthalmology practice operating in the heart of</w:t>
      </w:r>
      <w:r>
        <w:t xml:space="preserve"> </w:t>
      </w:r>
      <w:r>
        <w:t xml:space="preserve">Belgium Brussels</w:t>
      </w:r>
      <w:r>
        <w:t xml:space="preserve">, to provide a comprehensive and transparent breakdown of the professional</w:t>
      </w:r>
      <w:r>
        <w:t xml:space="preserve"> </w:t>
      </w:r>
      <w:r>
        <w:t xml:space="preserve">Ophthalmologist</w:t>
      </w:r>
      <w:r>
        <w:t xml:space="preserve"> </w:t>
      </w:r>
      <w:r>
        <w:t xml:space="preserve">services requested by the client. As a registered medical facility under the Belgian Federal Public Health Service and the Brussels-Capital Region health authority, our</w:t>
      </w:r>
      <w:r>
        <w:t xml:space="preserve"> </w:t>
      </w:r>
      <w:r>
        <w:t xml:space="preserve">Ophthalmologist</w:t>
      </w:r>
      <w:r>
        <w:t xml:space="preserve"> </w:t>
      </w:r>
      <w:r>
        <w:t xml:space="preserve">team is fully qualified to deliver diagnostic, therapeutic, and surgical eye care in accordance with Belgian medical regulations and EU healthcare standards.</w:t>
      </w:r>
    </w:p>
    <w:p>
      <w:pPr>
        <w:pStyle w:val="BodyText"/>
      </w:pPr>
      <w:r>
        <w:t xml:space="preserve">The following</w:t>
      </w:r>
      <w:r>
        <w:t xml:space="preserve"> </w:t>
      </w:r>
      <w:r>
        <w:t xml:space="preserve">Quotation Estimate</w:t>
      </w:r>
      <w:r>
        <w:t xml:space="preserve"> </w:t>
      </w:r>
      <w:r>
        <w:t xml:space="preserve">covers a complete ophthalmological assessment and treatment plan tailored to the specific visual and ocular health needs of the client. All services are to be performed at our clinic located in the European Quarter of Brussels, Belgium, and are subject to the terms and conditions outlined in Section 5 of this document.</w:t>
      </w:r>
    </w:p>
    <w:bookmarkEnd w:id="21"/>
    <w:bookmarkStart w:id="22" w:name="Xc58997d25e7a6033106b8a356176d17fdc3b580"/>
    <w:p>
      <w:pPr>
        <w:pStyle w:val="Heading2"/>
      </w:pPr>
      <w:r>
        <w:t xml:space="preserve">2. Itemised Quotation Estimate – Ophthalmologist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RIMU Code</w:t>
            </w:r>
          </w:p>
        </w:tc>
      </w:tr>
      <w:tr>
        <w:tc>
          <w:tcPr/>
          <w:p>
            <w:pPr>
              <w:pStyle w:val="Compact"/>
              <w:jc w:val="left"/>
            </w:pPr>
            <w:r>
              <w:t xml:space="preserve">01</w:t>
            </w:r>
          </w:p>
        </w:tc>
        <w:tc>
          <w:tcPr/>
          <w:p>
            <w:pPr>
              <w:pStyle w:val="Compact"/>
              <w:jc w:val="left"/>
            </w:pPr>
            <w:r>
              <w:t xml:space="preserve">Initial comprehensive ophthalmologist consultation and visual acuity assessment (including refraction, intraocular pressure measurement, and slit-lamp examination)</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1.01.01.00</w:t>
            </w:r>
          </w:p>
        </w:tc>
      </w:tr>
      <w:tr>
        <w:tc>
          <w:tcPr/>
          <w:p>
            <w:pPr>
              <w:pStyle w:val="Compact"/>
              <w:jc w:val="left"/>
            </w:pPr>
            <w:r>
              <w:t xml:space="preserve">02</w:t>
            </w:r>
          </w:p>
        </w:tc>
        <w:tc>
          <w:tcPr/>
          <w:p>
            <w:pPr>
              <w:pStyle w:val="Compact"/>
              <w:jc w:val="left"/>
            </w:pPr>
            <w:r>
              <w:t xml:space="preserve">Dilated fundus examination and retinal imaging (OCT – Optical Coherence Tomography) performed by the ophthalmologist</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c>
          <w:tcPr/>
          <w:p>
            <w:pPr>
              <w:pStyle w:val="Compact"/>
              <w:jc w:val="left"/>
            </w:pPr>
            <w:r>
              <w:t xml:space="preserve">1.02.03.00</w:t>
            </w:r>
          </w:p>
        </w:tc>
      </w:tr>
      <w:tr>
        <w:tc>
          <w:tcPr/>
          <w:p>
            <w:pPr>
              <w:pStyle w:val="Compact"/>
              <w:jc w:val="left"/>
            </w:pPr>
            <w:r>
              <w:t xml:space="preserve">03</w:t>
            </w:r>
          </w:p>
        </w:tc>
        <w:tc>
          <w:tcPr/>
          <w:p>
            <w:pPr>
              <w:pStyle w:val="Compact"/>
              <w:jc w:val="left"/>
            </w:pPr>
            <w:r>
              <w:t xml:space="preserve">Corneal topography and pachymetry analysis for pre-surgical ophthalmologist evaluation</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c>
          <w:tcPr/>
          <w:p>
            <w:pPr>
              <w:pStyle w:val="Compact"/>
              <w:jc w:val="left"/>
            </w:pPr>
            <w:r>
              <w:t xml:space="preserve">1.03.02.00</w:t>
            </w:r>
          </w:p>
        </w:tc>
      </w:tr>
      <w:tr>
        <w:tc>
          <w:tcPr/>
          <w:p>
            <w:pPr>
              <w:pStyle w:val="Compact"/>
              <w:jc w:val="left"/>
            </w:pPr>
            <w:r>
              <w:t xml:space="preserve">04</w:t>
            </w:r>
          </w:p>
        </w:tc>
        <w:tc>
          <w:tcPr/>
          <w:p>
            <w:pPr>
              <w:pStyle w:val="Compact"/>
              <w:jc w:val="left"/>
            </w:pPr>
            <w:r>
              <w:t xml:space="preserve">Visual field perimetry (Humphrey 30-2) to assess peripheral vision and rule out glaucomatous damage</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c>
          <w:tcPr/>
          <w:p>
            <w:pPr>
              <w:pStyle w:val="Compact"/>
              <w:jc w:val="left"/>
            </w:pPr>
            <w:r>
              <w:t xml:space="preserve">1.04.01.00</w:t>
            </w:r>
          </w:p>
        </w:tc>
      </w:tr>
      <w:tr>
        <w:tc>
          <w:tcPr/>
          <w:p>
            <w:pPr>
              <w:pStyle w:val="Compact"/>
              <w:jc w:val="left"/>
            </w:pPr>
            <w:r>
              <w:t xml:space="preserve">05</w:t>
            </w:r>
          </w:p>
        </w:tc>
        <w:tc>
          <w:tcPr/>
          <w:p>
            <w:pPr>
              <w:pStyle w:val="Compact"/>
              <w:jc w:val="left"/>
            </w:pPr>
            <w:r>
              <w:t xml:space="preserve">Phacoemulsification cataract surgery with premium multifocal intraocular lens implantation (performed by senior ophthalmologist, including pre- and post-operative visits)</w:t>
            </w:r>
          </w:p>
        </w:tc>
        <w:tc>
          <w:tcPr/>
          <w:p>
            <w:pPr>
              <w:pStyle w:val="Compact"/>
              <w:jc w:val="left"/>
            </w:pPr>
            <w:r>
              <w:t xml:space="preserve">2 (both eyes)</w:t>
            </w:r>
          </w:p>
        </w:tc>
        <w:tc>
          <w:tcPr/>
          <w:p>
            <w:pPr>
              <w:pStyle w:val="Compact"/>
              <w:jc w:val="left"/>
            </w:pPr>
            <w:r>
              <w:t xml:space="preserve">€ 2,450.00</w:t>
            </w:r>
          </w:p>
        </w:tc>
        <w:tc>
          <w:tcPr/>
          <w:p>
            <w:pPr>
              <w:pStyle w:val="Compact"/>
              <w:jc w:val="left"/>
            </w:pPr>
            <w:r>
              <w:t xml:space="preserve">€ 4,900.00</w:t>
            </w:r>
          </w:p>
        </w:tc>
        <w:tc>
          <w:tcPr/>
          <w:p>
            <w:pPr>
              <w:pStyle w:val="Compact"/>
              <w:jc w:val="left"/>
            </w:pPr>
            <w:r>
              <w:t xml:space="preserve">2.01.05.00</w:t>
            </w:r>
          </w:p>
        </w:tc>
      </w:tr>
      <w:tr>
        <w:tc>
          <w:tcPr/>
          <w:p>
            <w:pPr>
              <w:pStyle w:val="Compact"/>
              <w:jc w:val="left"/>
            </w:pPr>
            <w:r>
              <w:t xml:space="preserve">06</w:t>
            </w:r>
          </w:p>
        </w:tc>
        <w:tc>
          <w:tcPr/>
          <w:p>
            <w:pPr>
              <w:pStyle w:val="Compact"/>
              <w:jc w:val="left"/>
            </w:pPr>
            <w:r>
              <w:t xml:space="preserve">Post-operative ophthalmologist follow-up consultations (3 visits at 1 week, 1 month, and 3 months post-surgery)</w:t>
            </w:r>
          </w:p>
        </w:tc>
        <w:tc>
          <w:tcPr/>
          <w:p>
            <w:pPr>
              <w:pStyle w:val="Compact"/>
              <w:jc w:val="left"/>
            </w:pPr>
            <w:r>
              <w:t xml:space="preserve">3</w:t>
            </w:r>
          </w:p>
        </w:tc>
        <w:tc>
          <w:tcPr/>
          <w:p>
            <w:pPr>
              <w:pStyle w:val="Compact"/>
              <w:jc w:val="left"/>
            </w:pPr>
            <w:r>
              <w:t xml:space="preserve">€ 85.00</w:t>
            </w:r>
          </w:p>
        </w:tc>
        <w:tc>
          <w:tcPr/>
          <w:p>
            <w:pPr>
              <w:pStyle w:val="Compact"/>
              <w:jc w:val="left"/>
            </w:pPr>
            <w:r>
              <w:t xml:space="preserve">€ 255.00</w:t>
            </w:r>
          </w:p>
        </w:tc>
        <w:tc>
          <w:tcPr/>
          <w:p>
            <w:pPr>
              <w:pStyle w:val="Compact"/>
              <w:jc w:val="left"/>
            </w:pPr>
            <w:r>
              <w:t xml:space="preserve">3.01.00.00</w:t>
            </w:r>
          </w:p>
        </w:tc>
      </w:tr>
      <w:tr>
        <w:tc>
          <w:tcPr/>
          <w:p>
            <w:pPr>
              <w:pStyle w:val="Compact"/>
              <w:jc w:val="left"/>
            </w:pPr>
            <w:r>
              <w:t xml:space="preserve">07</w:t>
            </w:r>
          </w:p>
        </w:tc>
        <w:tc>
          <w:tcPr/>
          <w:p>
            <w:pPr>
              <w:pStyle w:val="Compact"/>
              <w:jc w:val="left"/>
            </w:pPr>
            <w:r>
              <w:t xml:space="preserve">Prescription of post-operative ophthalmic medications (antibiotic and anti-inflammatory eye drops, 4-week supply)</w:t>
            </w:r>
          </w:p>
        </w:tc>
        <w:tc>
          <w:tcPr/>
          <w:p>
            <w:pPr>
              <w:pStyle w:val="Compact"/>
              <w:jc w:val="left"/>
            </w:pPr>
            <w:r>
              <w:t xml:space="preserve">1</w:t>
            </w:r>
          </w:p>
        </w:tc>
        <w:tc>
          <w:tcPr/>
          <w:p>
            <w:pPr>
              <w:pStyle w:val="Compact"/>
              <w:jc w:val="left"/>
            </w:pPr>
            <w:r>
              <w:t xml:space="preserve">€ 68.00</w:t>
            </w:r>
          </w:p>
        </w:tc>
        <w:tc>
          <w:tcPr/>
          <w:p>
            <w:pPr>
              <w:pStyle w:val="Compact"/>
              <w:jc w:val="left"/>
            </w:pPr>
            <w:r>
              <w:t xml:space="preserve">€ 68.00</w:t>
            </w:r>
          </w:p>
        </w:tc>
        <w:tc>
          <w:tcPr/>
          <w:p>
            <w:pPr>
              <w:pStyle w:val="Compact"/>
              <w:jc w:val="left"/>
            </w:pPr>
            <w:r>
              <w:t xml:space="preserve">4.01.02.00</w:t>
            </w:r>
          </w:p>
        </w:tc>
      </w:tr>
      <w:tr>
        <w:tc>
          <w:tcPr/>
          <w:p>
            <w:pPr>
              <w:pStyle w:val="Compact"/>
              <w:jc w:val="left"/>
            </w:pPr>
            <w:r>
              <w:t xml:space="preserve">08</w:t>
            </w:r>
          </w:p>
        </w:tc>
        <w:tc>
          <w:tcPr/>
          <w:p>
            <w:pPr>
              <w:pStyle w:val="Compact"/>
              <w:jc w:val="left"/>
            </w:pPr>
            <w:r>
              <w:t xml:space="preserve">Emergency ophthalmologist on-call coverage and after-hours consultation access (annual membership, Brussels region)</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5.01.00.00</w:t>
            </w:r>
          </w:p>
        </w:tc>
      </w:tr>
      <w:tr>
        <w:tc>
          <w:tcPr>
            <w:gridSpan w:val="4"/>
          </w:tcPr>
          <w:p>
            <w:pPr>
              <w:pStyle w:val="Compact"/>
              <w:jc w:val="left"/>
            </w:pPr>
            <w:r>
              <w:t xml:space="preserve">Subtotal (excl. VAT)</w:t>
            </w:r>
          </w:p>
        </w:tc>
        <w:tc>
          <w:tcPr/>
          <w:p>
            <w:pPr>
              <w:pStyle w:val="Compact"/>
              <w:jc w:val="left"/>
            </w:pPr>
            <w:r>
              <w:t xml:space="preserve">€ 6,918.00</w:t>
            </w:r>
          </w:p>
        </w:tc>
        <w:tc>
          <w:tcPr/>
          <w:p>
            <w:pPr>
              <w:pStyle w:val="Compact"/>
              <w:jc w:val="left"/>
            </w:pPr>
            <w:r>
              <w:t xml:space="preserve">—</w:t>
            </w:r>
          </w:p>
        </w:tc>
      </w:tr>
      <w:tr>
        <w:tc>
          <w:tcPr>
            <w:gridSpan w:val="4"/>
          </w:tcPr>
          <w:p>
            <w:pPr>
              <w:pStyle w:val="Compact"/>
              <w:jc w:val="left"/>
            </w:pPr>
            <w:r>
              <w:t xml:space="preserve">VAT (21% – Belgian standard rate for private medical services)</w:t>
            </w:r>
          </w:p>
        </w:tc>
        <w:tc>
          <w:tcPr/>
          <w:p>
            <w:pPr>
              <w:pStyle w:val="Compact"/>
              <w:jc w:val="left"/>
            </w:pPr>
            <w:r>
              <w:t xml:space="preserve">€ 1,452.78</w:t>
            </w:r>
          </w:p>
        </w:tc>
        <w:tc>
          <w:tcPr/>
          <w:p>
            <w:pPr>
              <w:pStyle w:val="Compact"/>
              <w:jc w:val="left"/>
            </w:pPr>
            <w:r>
              <w:t xml:space="preserve">—</w:t>
            </w:r>
          </w:p>
        </w:tc>
      </w:tr>
      <w:tr>
        <w:tc>
          <w:tcPr>
            <w:gridSpan w:val="4"/>
          </w:tcPr>
          <w:p>
            <w:pPr>
              <w:pStyle w:val="Compact"/>
              <w:jc w:val="left"/>
            </w:pPr>
            <w:r>
              <w:t xml:space="preserve">TOTAL AMOUNT DUE (incl. VAT)</w:t>
            </w:r>
          </w:p>
        </w:tc>
        <w:tc>
          <w:tcPr/>
          <w:p>
            <w:pPr>
              <w:pStyle w:val="Compact"/>
              <w:jc w:val="left"/>
            </w:pPr>
            <w:r>
              <w:t xml:space="preserve">€ 8,370.78</w:t>
            </w:r>
          </w:p>
        </w:tc>
        <w:tc>
          <w:tcPr/>
          <w:p>
            <w:pPr>
              <w:pStyle w:val="Compact"/>
              <w:jc w:val="left"/>
            </w:pPr>
            <w:r>
              <w:t xml:space="preserve">—</w:t>
            </w:r>
          </w:p>
        </w:tc>
      </w:tr>
    </w:tbl>
    <w:p>
      <w:pPr>
        <w:pStyle w:val="BodyText"/>
      </w:pPr>
      <w:r>
        <w:t xml:space="preserve">Note: In accordance with Belgian tax legislation (Code Général des Impôts), certain ophthalmologist diagnostic services may be partially reimbursed by the client's mutualité (health insurance fund). The RIMU codes listed above correspond to the Belgian medical procedure nomenclature for reimbursement purposes.</w:t>
      </w:r>
    </w:p>
    <w:bookmarkEnd w:id="22"/>
    <w:bookmarkStart w:id="23" w:name="X973d3e6a555f438ff34dc5561b79c7d54550009"/>
    <w:p>
      <w:pPr>
        <w:pStyle w:val="Heading2"/>
      </w:pPr>
      <w:r>
        <w:t xml:space="preserve">3. Ophthalmologist Team and Facility Details</w:t>
      </w:r>
    </w:p>
    <w:p>
      <w:pPr>
        <w:pStyle w:val="FirstParagraph"/>
      </w:pPr>
      <w:r>
        <w:t xml:space="preserve">All ophthalmologist services described in this</w:t>
      </w:r>
      <w:r>
        <w:t xml:space="preserve"> </w:t>
      </w:r>
      <w:r>
        <w:t xml:space="preserve">Quotation Estimate</w:t>
      </w:r>
      <w:r>
        <w:t xml:space="preserve"> </w:t>
      </w:r>
      <w:r>
        <w:t xml:space="preserve">will be delivered by Dr. Catherine Moreau, MD, PhD, a board-certified ophthalmologist with over 18 years of clinical experience in cataract surgery, refractive procedures, and retinal diagnostics. Dr. Moreau is a registered member of the Belgian Ophthalmological Society (Société Belge d'Ophtalmologie) and the European Society of Cataract and Refractive Surgeons (ESCRS). The procedure will take place in our fully equipped surgical suite in Brussels, Belgium, which meets all Belgian hospital accreditation standards set by the Belgian Accreditation Agency (BAA).</w:t>
      </w:r>
    </w:p>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Payment for the ophthalmologist surgical package (Ref. 05) is due as follows: a non-refundable deposit of 30% (€ 1,470.00) is required to confirm the surgical booking, and the remaining balance is payable within fourteen (14) days following the completion of the final post-operative ophthalmologist consultation. Diagnostic and consultation fees (Refs. 01–04, 06–08) are payable at the time of service. Accepted payment methods include bank transfer (IBAN: BE68 5390 0754 7034), credit card (Visa, Mastercard), and direct debit. A 1.5% late-payment interest fee per month applies to overdue balances in accordance with Belgian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a non-binding offer and does not constitute a contractual obligation until formally accepted in writing by the client and countersigned by our ophthalmologist practice manager.</w:t>
      </w:r>
    </w:p>
    <w:p>
      <w:pPr>
        <w:numPr>
          <w:ilvl w:val="0"/>
          <w:numId w:val="1001"/>
        </w:numPr>
        <w:pStyle w:val="Compact"/>
      </w:pPr>
      <w:r>
        <w:t xml:space="preserve">All ophthalmologist services are subject to a pre-operative medical clearance. The ophthalmologist reserves the right to reschedule or modify the treatment plan if the client's medical condition changes.</w:t>
      </w:r>
    </w:p>
    <w:p>
      <w:pPr>
        <w:numPr>
          <w:ilvl w:val="0"/>
          <w:numId w:val="1001"/>
        </w:numPr>
        <w:pStyle w:val="Compact"/>
      </w:pPr>
      <w:r>
        <w:t xml:space="preserve">Prices are quoted in Euro (EUR) and include all applicable Belgian taxes. No additional travel, parking, or administrative fees will be charged to the client.</w:t>
      </w:r>
    </w:p>
    <w:p>
      <w:pPr>
        <w:numPr>
          <w:ilvl w:val="0"/>
          <w:numId w:val="1001"/>
        </w:numPr>
        <w:pStyle w:val="Compact"/>
      </w:pPr>
      <w:r>
        <w:t xml:space="preserve">In the event of surgical complications, the ophthalmologist and the Brussels Vision &amp; Eye Care Centre carry full professional medical liability insurance (€ 5,000,000 coverage) with AXA Belgium, policy no. AXA-BE-2025-77812.</w:t>
      </w:r>
    </w:p>
    <w:p>
      <w:pPr>
        <w:numPr>
          <w:ilvl w:val="0"/>
          <w:numId w:val="1001"/>
        </w:numPr>
        <w:pStyle w:val="Compact"/>
      </w:pPr>
      <w:r>
        <w:t xml:space="preserve">Client medical data is processed in strict compliance with the Belgian Privacy Act (Loi du 30 juillet 2018) and the EU General Data Protection Regulation (GDPR). Data is stored on servers located within Belgium.</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ophthalmologist services shall be resolved under the jurisdiction of the Courts of Brussels, Belgium.</w:t>
      </w:r>
    </w:p>
    <w:p>
      <w:pPr>
        <w:numPr>
          <w:ilvl w:val="0"/>
          <w:numId w:val="1001"/>
        </w:numPr>
        <w:pStyle w:val="Compact"/>
      </w:pPr>
      <w:r>
        <w:t xml:space="preserve">Cancellation of a scheduled ophthalmologist surgical procedure more than 14 days in advance incurs no charge. Cancellation within 14 days forfeits the 30% deposit.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 ophthalmologist services in Brussels, Belgium, and agrees to the terms and conditions set forth herein. This document, once signed by both parties, constitutes a binding service agreement for the ophthalmologist care described above.</w:t>
      </w:r>
    </w:p>
    <w:p>
      <w:pPr>
        <w:pStyle w:val="BodyText"/>
      </w:pPr>
      <w:r>
        <w:rPr>
          <w:bCs/>
          <w:b/>
        </w:rPr>
        <w:t xml:space="preserve">For Brussels Vision &amp; Eye Care Centre</w:t>
      </w:r>
      <w:r>
        <w:br/>
      </w:r>
      <w:r>
        <w:t xml:space="preserve">Dr. Catherine Moreau, Ophthalmologist</w:t>
      </w:r>
      <w:r>
        <w:br/>
      </w:r>
      <w:r>
        <w:t xml:space="preserve">Date: _______________</w:t>
      </w:r>
    </w:p>
    <w:p>
      <w:pPr>
        <w:pStyle w:val="BodyText"/>
      </w:pPr>
      <w:r>
        <w:rPr>
          <w:bCs/>
          <w:b/>
        </w:rPr>
        <w:t xml:space="preserve">Client</w:t>
      </w:r>
      <w:r>
        <w:br/>
      </w:r>
      <w:r>
        <w:t xml:space="preserve">Mr. Jean-Pierre Van den Berghe</w:t>
      </w:r>
      <w:r>
        <w:br/>
      </w:r>
      <w:r>
        <w:t xml:space="preserve">Date: _______________</w:t>
      </w:r>
    </w:p>
    <w:p>
      <w:pPr>
        <w:pStyle w:val="BodyText"/>
      </w:pPr>
      <w:r>
        <w:t xml:space="preserve">Brussels Vision &amp; Eye Care Centre | Rue de la Loi 245, 1040 Brussels, Belgium | VAT BE 0789.456.321</w:t>
      </w:r>
    </w:p>
    <w:p>
      <w:pPr>
        <w:pStyle w:val="BodyText"/>
      </w:pPr>
      <w:r>
        <w:t xml:space="preserve">Registered with the Brussels-Capital Region Health Authority | Member of the Belgian Ophthalmological Society</w:t>
      </w:r>
    </w:p>
    <w:p>
      <w:pPr>
        <w:pStyle w:val="BodyText"/>
      </w:pPr>
      <w:r>
        <w:t xml:space="preserve">This Quotation Estimate was generated on 14 June 2025 and is valid until 14 July 2025. Document Ref: QTE-2025-0487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Belgium Brussels</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