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quotation-estimate"/>
    <w:p>
      <w:pPr>
        <w:pStyle w:val="Heading1"/>
      </w:pPr>
      <w:r>
        <w:t xml:space="preserve">Quotation Estimate</w:t>
      </w:r>
    </w:p>
    <w:p>
      <w:pPr>
        <w:pStyle w:val="FirstParagraph"/>
      </w:pPr>
      <w:r>
        <w:t xml:space="preserve">Professional Ophthalmologist Services — Kenya Nairobi</w:t>
      </w:r>
    </w:p>
    <w:p>
      <w:pPr>
        <w:pStyle w:val="BodyText"/>
      </w:pPr>
      <w:r>
        <w:t xml:space="preserve">Ophthalmology &amp; Vision Care</w:t>
      </w:r>
    </w:p>
    <w:bookmarkEnd w:id="20"/>
    <w:p>
      <w:pPr>
        <w:pStyle w:val="BodyText"/>
      </w:pPr>
      <w:r>
        <w:rPr>
          <w:bCs/>
          <w:b/>
        </w:rPr>
        <w:t xml:space="preserve">East African Vision Centre</w:t>
      </w:r>
      <w:r>
        <w:br/>
      </w:r>
      <w:r>
        <w:t xml:space="preserve">Ophthalmologist &amp; Eye Care Specialists</w:t>
      </w:r>
      <w:r>
        <w:br/>
      </w:r>
      <w:r>
        <w:t xml:space="preserve">4th Floor, Kenyatta Avenue, Westlands</w:t>
      </w:r>
      <w:r>
        <w:br/>
      </w:r>
      <w:r>
        <w:t xml:space="preserve">Nairobi, Kenya</w:t>
      </w:r>
      <w:r>
        <w:br/>
      </w:r>
      <w:r>
        <w:t xml:space="preserve">Tel: +254 700 123 456</w:t>
      </w:r>
      <w:r>
        <w:br/>
      </w:r>
      <w:r>
        <w:t xml:space="preserve">Email: info@eavisioncentre.co.ke</w:t>
      </w:r>
    </w:p>
    <w:p>
      <w:pPr>
        <w:pStyle w:val="BodyText"/>
      </w:pPr>
      <w:r>
        <w:rPr>
          <w:bCs/>
          <w:b/>
        </w:rPr>
        <w:t xml:space="preserve">Registration No.:</w:t>
      </w:r>
      <w:r>
        <w:t xml:space="preserve"> </w:t>
      </w:r>
      <w:r>
        <w:t xml:space="preserve">PHC/2019/04521</w:t>
      </w:r>
      <w:r>
        <w:br/>
      </w:r>
      <w:r>
        <w:rPr>
          <w:bCs/>
          <w:b/>
        </w:rPr>
        <w:t xml:space="preserve">KMPDC License:</w:t>
      </w:r>
      <w:r>
        <w:t xml:space="preserve"> </w:t>
      </w:r>
      <w:r>
        <w:t xml:space="preserve">KMPDC/OPH/2020/0087</w:t>
      </w:r>
      <w:r>
        <w:br/>
      </w:r>
      <w:r>
        <w:rPr>
          <w:bCs/>
          <w:b/>
        </w:rPr>
        <w:t xml:space="preserve">Physical Therapy Board:</w:t>
      </w:r>
      <w:r>
        <w:t xml:space="preserve"> </w:t>
      </w:r>
      <w:r>
        <w:t xml:space="preserve">Registered</w:t>
      </w:r>
      <w:r>
        <w:br/>
      </w:r>
      <w:r>
        <w:rPr>
          <w:bCs/>
          <w:b/>
        </w:rPr>
        <w:t xml:space="preserve">Tax PIN:</w:t>
      </w:r>
      <w:r>
        <w:t xml:space="preserve"> </w:t>
      </w:r>
      <w:r>
        <w:t xml:space="preserve">P051234567X</w:t>
      </w:r>
    </w:p>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EAVC/QE/2025/00347</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days from date of issue)</w:t>
            </w:r>
          </w:p>
        </w:tc>
      </w:tr>
      <w:tr>
        <w:tc>
          <w:tcPr/>
          <w:p>
            <w:pPr>
              <w:pStyle w:val="Compact"/>
              <w:jc w:val="left"/>
            </w:pPr>
            <w:r>
              <w:t xml:space="preserve">Prepared For</w:t>
            </w:r>
          </w:p>
        </w:tc>
        <w:tc>
          <w:tcPr/>
          <w:p>
            <w:pPr>
              <w:pStyle w:val="Compact"/>
              <w:jc w:val="left"/>
            </w:pPr>
            <w:r>
              <w:t xml:space="preserve">Mwanza Health &amp; Wellness Group Ltd.</w:t>
            </w:r>
            <w:r>
              <w:br/>
            </w:r>
            <w:r>
              <w:t xml:space="preserve">P.O. Box 4521, Nairobi, Kenya</w:t>
            </w:r>
            <w:r>
              <w:br/>
            </w:r>
            <w:r>
              <w:t xml:space="preserve">Attn: Mr. David Otieno, Procurement Manager</w:t>
            </w:r>
          </w:p>
        </w:tc>
      </w:tr>
      <w:tr>
        <w:tc>
          <w:tcPr/>
          <w:p>
            <w:pPr>
              <w:pStyle w:val="Compact"/>
              <w:jc w:val="left"/>
            </w:pPr>
            <w:r>
              <w:t xml:space="preserve">Prepared By</w:t>
            </w:r>
          </w:p>
        </w:tc>
        <w:tc>
          <w:tcPr/>
          <w:p>
            <w:pPr>
              <w:pStyle w:val="Compact"/>
              <w:jc w:val="left"/>
            </w:pPr>
            <w:r>
              <w:t xml:space="preserve">Dr. Amina Wanjiru Kamau, MBChB, FCOphth (Kenya)</w:t>
            </w:r>
            <w:r>
              <w:br/>
            </w:r>
            <w:r>
              <w:t xml:space="preserve">Consultant Ophthalmologist, East African Vision Centre</w:t>
            </w:r>
          </w:p>
        </w:tc>
      </w:tr>
      <w:tr>
        <w:tc>
          <w:tcPr/>
          <w:p>
            <w:pPr>
              <w:pStyle w:val="Compact"/>
              <w:jc w:val="left"/>
            </w:pPr>
            <w:r>
              <w:t xml:space="preserve">Service Location</w:t>
            </w:r>
          </w:p>
        </w:tc>
        <w:tc>
          <w:tcPr/>
          <w:p>
            <w:pPr>
              <w:pStyle w:val="Compact"/>
              <w:jc w:val="left"/>
            </w:pPr>
            <w:r>
              <w:t xml:space="preserve">East African Vision Centre, Westlands, Nairobi, Kenya</w:t>
            </w:r>
          </w:p>
        </w:tc>
      </w:tr>
    </w:tbl>
    <w:bookmarkStart w:id="21" w:name="X19fb71b7844d1f31cf84e3205aa78912e23d31b"/>
    <w:p>
      <w:pPr>
        <w:pStyle w:val="Heading2"/>
      </w:pPr>
      <w:r>
        <w:t xml:space="preserve">Scope of Ophthalmologist Services — Kenya Nairobi</w:t>
      </w:r>
    </w:p>
    <w:p>
      <w:pPr>
        <w:pStyle w:val="FirstParagraph"/>
      </w:pPr>
      <w:r>
        <w:t xml:space="preserve">This Quotation Estimate is issued by East African Vision Centre, a fully licensed ophthalmology practice located in the heart of Kenya Nairobi, to provide comprehensive ophthalmologist services for the corporate eye health programme of Mwanza Health &amp; Wellness Group Ltd. The following itemised services reflect the full scope of care that our team of qualified ophthalmologists will deliver at our Nairobi facility in accordance with the standards set by the Kenya Medical Practitioners and Dentists Council (KMPDC) and the Kenya Ophthalmological Society.</w:t>
      </w:r>
    </w:p>
    <w:bookmarkEnd w:id="21"/>
    <w:bookmarkStart w:id="22" w:name="itemised-quotation-estimate-breakdown"/>
    <w:p>
      <w:pPr>
        <w:pStyle w:val="Heading2"/>
      </w:pPr>
      <w:r>
        <w:t xml:space="preserve">Itemised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Ophthalmologist Service Description</w:t>
            </w:r>
          </w:p>
        </w:tc>
        <w:tc>
          <w:tcPr/>
          <w:p>
            <w:pPr>
              <w:pStyle w:val="Compact"/>
              <w:jc w:val="left"/>
            </w:pPr>
            <w:r>
              <w:t xml:space="preserve">Quantity</w:t>
            </w:r>
          </w:p>
        </w:tc>
        <w:tc>
          <w:tcPr/>
          <w:p>
            <w:pPr>
              <w:pStyle w:val="Compact"/>
              <w:jc w:val="left"/>
            </w:pPr>
            <w:r>
              <w:t xml:space="preserve">Unit Price (KES)</w:t>
            </w:r>
          </w:p>
        </w:tc>
        <w:tc>
          <w:tcPr/>
          <w:p>
            <w:pPr>
              <w:pStyle w:val="Compact"/>
              <w:jc w:val="left"/>
            </w:pPr>
            <w:r>
              <w:t xml:space="preserve">Total Amount (KES)</w:t>
            </w:r>
          </w:p>
        </w:tc>
      </w:tr>
      <w:tr>
        <w:tc>
          <w:tcPr/>
          <w:p>
            <w:pPr>
              <w:pStyle w:val="Compact"/>
              <w:jc w:val="left"/>
            </w:pPr>
            <w:r>
              <w:t xml:space="preserve">1</w:t>
            </w:r>
          </w:p>
        </w:tc>
        <w:tc>
          <w:tcPr/>
          <w:p>
            <w:pPr>
              <w:pStyle w:val="Compact"/>
              <w:jc w:val="left"/>
            </w:pPr>
            <w:r>
              <w:t xml:space="preserve">Comprehensive Ophthalmologist Consultation &amp; Full Eye Examination (including visual acuity, refraction, intraocular pressure, and slit-lamp biomicroscopy)</w:t>
            </w:r>
          </w:p>
        </w:tc>
        <w:tc>
          <w:tcPr/>
          <w:p>
            <w:pPr>
              <w:pStyle w:val="Compact"/>
              <w:jc w:val="left"/>
            </w:pPr>
            <w:r>
              <w:t xml:space="preserve">50</w:t>
            </w:r>
          </w:p>
        </w:tc>
        <w:tc>
          <w:tcPr/>
          <w:p>
            <w:pPr>
              <w:pStyle w:val="Compact"/>
              <w:jc w:val="left"/>
            </w:pPr>
            <w:r>
              <w:t xml:space="preserve">4,500</w:t>
            </w:r>
          </w:p>
        </w:tc>
        <w:tc>
          <w:tcPr/>
          <w:p>
            <w:pPr>
              <w:pStyle w:val="Compact"/>
              <w:jc w:val="left"/>
            </w:pPr>
            <w:r>
              <w:t xml:space="preserve">225,000</w:t>
            </w:r>
          </w:p>
        </w:tc>
      </w:tr>
      <w:tr>
        <w:tc>
          <w:tcPr/>
          <w:p>
            <w:pPr>
              <w:pStyle w:val="Compact"/>
              <w:jc w:val="left"/>
            </w:pPr>
            <w:r>
              <w:t xml:space="preserve">2</w:t>
            </w:r>
          </w:p>
        </w:tc>
        <w:tc>
          <w:tcPr/>
          <w:p>
            <w:pPr>
              <w:pStyle w:val="Compact"/>
              <w:jc w:val="left"/>
            </w:pPr>
            <w:r>
              <w:t xml:space="preserve">Dilated Fundus Examination &amp; Retinal Assessment by Consultant Ophthalmologist</w:t>
            </w:r>
          </w:p>
        </w:tc>
        <w:tc>
          <w:tcPr/>
          <w:p>
            <w:pPr>
              <w:pStyle w:val="Compact"/>
              <w:jc w:val="left"/>
            </w:pPr>
            <w:r>
              <w:t xml:space="preserve">50</w:t>
            </w:r>
          </w:p>
        </w:tc>
        <w:tc>
          <w:tcPr/>
          <w:p>
            <w:pPr>
              <w:pStyle w:val="Compact"/>
              <w:jc w:val="left"/>
            </w:pPr>
            <w:r>
              <w:t xml:space="preserve">3,200</w:t>
            </w:r>
          </w:p>
        </w:tc>
        <w:tc>
          <w:tcPr/>
          <w:p>
            <w:pPr>
              <w:pStyle w:val="Compact"/>
              <w:jc w:val="left"/>
            </w:pPr>
            <w:r>
              <w:t xml:space="preserve">160,000</w:t>
            </w:r>
          </w:p>
        </w:tc>
      </w:tr>
      <w:tr>
        <w:tc>
          <w:tcPr/>
          <w:p>
            <w:pPr>
              <w:pStyle w:val="Compact"/>
              <w:jc w:val="left"/>
            </w:pPr>
            <w:r>
              <w:t xml:space="preserve">3</w:t>
            </w:r>
          </w:p>
        </w:tc>
        <w:tc>
          <w:tcPr/>
          <w:p>
            <w:pPr>
              <w:pStyle w:val="Compact"/>
              <w:jc w:val="left"/>
            </w:pPr>
            <w:r>
              <w:t xml:space="preserve">Optical Coherence Tomography (OCT) — Macular &amp; Retinal Imaging</w:t>
            </w:r>
          </w:p>
        </w:tc>
        <w:tc>
          <w:tcPr/>
          <w:p>
            <w:pPr>
              <w:pStyle w:val="Compact"/>
              <w:jc w:val="left"/>
            </w:pPr>
            <w:r>
              <w:t xml:space="preserve">30</w:t>
            </w:r>
          </w:p>
        </w:tc>
        <w:tc>
          <w:tcPr/>
          <w:p>
            <w:pPr>
              <w:pStyle w:val="Compact"/>
              <w:jc w:val="left"/>
            </w:pPr>
            <w:r>
              <w:t xml:space="preserve">5,800</w:t>
            </w:r>
          </w:p>
        </w:tc>
        <w:tc>
          <w:tcPr/>
          <w:p>
            <w:pPr>
              <w:pStyle w:val="Compact"/>
              <w:jc w:val="left"/>
            </w:pPr>
            <w:r>
              <w:t xml:space="preserve">174,000</w:t>
            </w:r>
          </w:p>
        </w:tc>
      </w:tr>
      <w:tr>
        <w:tc>
          <w:tcPr/>
          <w:p>
            <w:pPr>
              <w:pStyle w:val="Compact"/>
              <w:jc w:val="left"/>
            </w:pPr>
            <w:r>
              <w:t xml:space="preserve">4</w:t>
            </w:r>
          </w:p>
        </w:tc>
        <w:tc>
          <w:tcPr/>
          <w:p>
            <w:pPr>
              <w:pStyle w:val="Compact"/>
              <w:jc w:val="left"/>
            </w:pPr>
            <w:r>
              <w:t xml:space="preserve">Anterior Segment &amp; Posterior Segment Ultrasound (B-Scan)</w:t>
            </w:r>
          </w:p>
        </w:tc>
        <w:tc>
          <w:tcPr/>
          <w:p>
            <w:pPr>
              <w:pStyle w:val="Compact"/>
              <w:jc w:val="left"/>
            </w:pPr>
            <w:r>
              <w:t xml:space="preserve">20</w:t>
            </w:r>
          </w:p>
        </w:tc>
        <w:tc>
          <w:tcPr/>
          <w:p>
            <w:pPr>
              <w:pStyle w:val="Compact"/>
              <w:jc w:val="left"/>
            </w:pPr>
            <w:r>
              <w:t xml:space="preserve">4,200</w:t>
            </w:r>
          </w:p>
        </w:tc>
        <w:tc>
          <w:tcPr/>
          <w:p>
            <w:pPr>
              <w:pStyle w:val="Compact"/>
              <w:jc w:val="left"/>
            </w:pPr>
            <w:r>
              <w:t xml:space="preserve">84,000</w:t>
            </w:r>
          </w:p>
        </w:tc>
      </w:tr>
      <w:tr>
        <w:tc>
          <w:tcPr/>
          <w:p>
            <w:pPr>
              <w:pStyle w:val="Compact"/>
              <w:jc w:val="left"/>
            </w:pPr>
            <w:r>
              <w:t xml:space="preserve">5</w:t>
            </w:r>
          </w:p>
        </w:tc>
        <w:tc>
          <w:tcPr/>
          <w:p>
            <w:pPr>
              <w:pStyle w:val="Compact"/>
              <w:jc w:val="left"/>
            </w:pPr>
            <w:r>
              <w:t xml:space="preserve">Cataract Surgery (Phacoemulsification with Intraocular Lens Implantation) — per eye, performed by senior Ophthalmologist</w:t>
            </w:r>
          </w:p>
        </w:tc>
        <w:tc>
          <w:tcPr/>
          <w:p>
            <w:pPr>
              <w:pStyle w:val="Compact"/>
              <w:jc w:val="left"/>
            </w:pPr>
            <w:r>
              <w:t xml:space="preserve">15</w:t>
            </w:r>
          </w:p>
        </w:tc>
        <w:tc>
          <w:tcPr/>
          <w:p>
            <w:pPr>
              <w:pStyle w:val="Compact"/>
              <w:jc w:val="left"/>
            </w:pPr>
            <w:r>
              <w:t xml:space="preserve">85,000</w:t>
            </w:r>
          </w:p>
        </w:tc>
        <w:tc>
          <w:tcPr/>
          <w:p>
            <w:pPr>
              <w:pStyle w:val="Compact"/>
              <w:jc w:val="left"/>
            </w:pPr>
            <w:r>
              <w:t xml:space="preserve">1,275,000</w:t>
            </w:r>
          </w:p>
        </w:tc>
      </w:tr>
      <w:tr>
        <w:tc>
          <w:tcPr/>
          <w:p>
            <w:pPr>
              <w:pStyle w:val="Compact"/>
              <w:jc w:val="left"/>
            </w:pPr>
            <w:r>
              <w:t xml:space="preserve">6</w:t>
            </w:r>
          </w:p>
        </w:tc>
        <w:tc>
          <w:tcPr/>
          <w:p>
            <w:pPr>
              <w:pStyle w:val="Compact"/>
              <w:jc w:val="left"/>
            </w:pPr>
            <w:r>
              <w:t xml:space="preserve">Post-Operative Ophthalmologist Follow-Up Visits (3 sessions per patient)</w:t>
            </w:r>
          </w:p>
        </w:tc>
        <w:tc>
          <w:tcPr/>
          <w:p>
            <w:pPr>
              <w:pStyle w:val="Compact"/>
              <w:jc w:val="left"/>
            </w:pPr>
            <w:r>
              <w:t xml:space="preserve">45</w:t>
            </w:r>
          </w:p>
        </w:tc>
        <w:tc>
          <w:tcPr/>
          <w:p>
            <w:pPr>
              <w:pStyle w:val="Compact"/>
              <w:jc w:val="left"/>
            </w:pPr>
            <w:r>
              <w:t xml:space="preserve">2,500</w:t>
            </w:r>
          </w:p>
        </w:tc>
        <w:tc>
          <w:tcPr/>
          <w:p>
            <w:pPr>
              <w:pStyle w:val="Compact"/>
              <w:jc w:val="left"/>
            </w:pPr>
            <w:r>
              <w:t xml:space="preserve">112,500</w:t>
            </w:r>
          </w:p>
        </w:tc>
      </w:tr>
      <w:tr>
        <w:tc>
          <w:tcPr/>
          <w:p>
            <w:pPr>
              <w:pStyle w:val="Compact"/>
              <w:jc w:val="left"/>
            </w:pPr>
            <w:r>
              <w:t xml:space="preserve">7</w:t>
            </w:r>
          </w:p>
        </w:tc>
        <w:tc>
          <w:tcPr/>
          <w:p>
            <w:pPr>
              <w:pStyle w:val="Compact"/>
              <w:jc w:val="left"/>
            </w:pPr>
            <w:r>
              <w:t xml:space="preserve">Prescription of Corrective Lenses &amp; Dispensing (single-vision, anti-glare coating)</w:t>
            </w:r>
          </w:p>
        </w:tc>
        <w:tc>
          <w:tcPr/>
          <w:p>
            <w:pPr>
              <w:pStyle w:val="Compact"/>
              <w:jc w:val="left"/>
            </w:pPr>
            <w:r>
              <w:t xml:space="preserve">35</w:t>
            </w:r>
          </w:p>
        </w:tc>
        <w:tc>
          <w:tcPr/>
          <w:p>
            <w:pPr>
              <w:pStyle w:val="Compact"/>
              <w:jc w:val="left"/>
            </w:pPr>
            <w:r>
              <w:t xml:space="preserve">12,000</w:t>
            </w:r>
          </w:p>
        </w:tc>
        <w:tc>
          <w:tcPr/>
          <w:p>
            <w:pPr>
              <w:pStyle w:val="Compact"/>
              <w:jc w:val="left"/>
            </w:pPr>
            <w:r>
              <w:t xml:space="preserve">420,000</w:t>
            </w:r>
          </w:p>
        </w:tc>
      </w:tr>
      <w:tr>
        <w:tc>
          <w:tcPr/>
          <w:p>
            <w:pPr>
              <w:pStyle w:val="Compact"/>
              <w:jc w:val="left"/>
            </w:pPr>
            <w:r>
              <w:t xml:space="preserve">8</w:t>
            </w:r>
          </w:p>
        </w:tc>
        <w:tc>
          <w:tcPr/>
          <w:p>
            <w:pPr>
              <w:pStyle w:val="Compact"/>
              <w:jc w:val="left"/>
            </w:pPr>
            <w:r>
              <w:t xml:space="preserve">Glaucoma Management &amp; Medication Supply (3-month supply per patient)</w:t>
            </w:r>
          </w:p>
        </w:tc>
        <w:tc>
          <w:tcPr/>
          <w:p>
            <w:pPr>
              <w:pStyle w:val="Compact"/>
              <w:jc w:val="left"/>
            </w:pPr>
            <w:r>
              <w:t xml:space="preserve">10</w:t>
            </w:r>
          </w:p>
        </w:tc>
        <w:tc>
          <w:tcPr/>
          <w:p>
            <w:pPr>
              <w:pStyle w:val="Compact"/>
              <w:jc w:val="left"/>
            </w:pPr>
            <w:r>
              <w:t xml:space="preserve">8,500</w:t>
            </w:r>
          </w:p>
        </w:tc>
        <w:tc>
          <w:tcPr/>
          <w:p>
            <w:pPr>
              <w:pStyle w:val="Compact"/>
              <w:jc w:val="left"/>
            </w:pPr>
            <w:r>
              <w:t xml:space="preserve">85,000</w:t>
            </w:r>
          </w:p>
        </w:tc>
      </w:tr>
      <w:tr>
        <w:tc>
          <w:tcPr/>
          <w:p>
            <w:pPr>
              <w:pStyle w:val="Compact"/>
              <w:jc w:val="left"/>
            </w:pPr>
            <w:r>
              <w:t xml:space="preserve">9</w:t>
            </w:r>
          </w:p>
        </w:tc>
        <w:tc>
          <w:tcPr/>
          <w:p>
            <w:pPr>
              <w:pStyle w:val="Compact"/>
              <w:jc w:val="left"/>
            </w:pPr>
            <w:r>
              <w:t xml:space="preserve">Corporate Eye Health Screening Camp in Nairobi (on-site Ophthalmologist team, 2 days)</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10</w:t>
            </w:r>
          </w:p>
        </w:tc>
        <w:tc>
          <w:tcPr/>
          <w:p>
            <w:pPr>
              <w:pStyle w:val="Compact"/>
              <w:jc w:val="left"/>
            </w:pPr>
            <w:r>
              <w:t xml:space="preserve">Written Ophthalmologist Reports &amp; Medical Certificates for HR Records</w:t>
            </w:r>
          </w:p>
        </w:tc>
        <w:tc>
          <w:tcPr/>
          <w:p>
            <w:pPr>
              <w:pStyle w:val="Compact"/>
              <w:jc w:val="left"/>
            </w:pPr>
            <w:r>
              <w:t xml:space="preserve">50</w:t>
            </w:r>
          </w:p>
        </w:tc>
        <w:tc>
          <w:tcPr/>
          <w:p>
            <w:pPr>
              <w:pStyle w:val="Compact"/>
              <w:jc w:val="left"/>
            </w:pPr>
            <w:r>
              <w:t xml:space="preserve">1,000</w:t>
            </w:r>
          </w:p>
        </w:tc>
        <w:tc>
          <w:tcPr/>
          <w:p>
            <w:pPr>
              <w:pStyle w:val="Compact"/>
              <w:jc w:val="left"/>
            </w:pPr>
            <w:r>
              <w:t xml:space="preserve">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2,735,500</w:t>
            </w:r>
          </w:p>
        </w:tc>
      </w:tr>
      <w:tr>
        <w:tc>
          <w:tcPr/>
          <w:p>
            <w:pPr>
              <w:pStyle w:val="Compact"/>
              <w:jc w:val="left"/>
            </w:pPr>
            <w:r>
              <w:t xml:space="preserve">VAT (16%)</w:t>
            </w:r>
          </w:p>
        </w:tc>
        <w:tc>
          <w:tcPr/>
          <w:p>
            <w:pPr>
              <w:pStyle w:val="Compact"/>
              <w:jc w:val="left"/>
            </w:pPr>
            <w:r>
              <w:t xml:space="preserve">437,680</w:t>
            </w:r>
          </w:p>
        </w:tc>
      </w:tr>
      <w:tr>
        <w:tc>
          <w:tcPr/>
          <w:p>
            <w:pPr>
              <w:pStyle w:val="Compact"/>
              <w:jc w:val="left"/>
            </w:pPr>
            <w:r>
              <w:t xml:space="preserve">WHT (3% on professional services)</w:t>
            </w:r>
          </w:p>
        </w:tc>
        <w:tc>
          <w:tcPr/>
          <w:p>
            <w:pPr>
              <w:pStyle w:val="Compact"/>
              <w:jc w:val="left"/>
            </w:pPr>
            <w:r>
              <w:t xml:space="preserve">(82,065)</w:t>
            </w:r>
          </w:p>
        </w:tc>
      </w:tr>
      <w:tr>
        <w:tc>
          <w:tcPr/>
          <w:p>
            <w:pPr>
              <w:pStyle w:val="Compact"/>
              <w:jc w:val="left"/>
            </w:pPr>
            <w:r>
              <w:t xml:space="preserve">Grand Total (KES)</w:t>
            </w:r>
          </w:p>
        </w:tc>
        <w:tc>
          <w:tcPr/>
          <w:p>
            <w:pPr>
              <w:pStyle w:val="Compact"/>
              <w:jc w:val="left"/>
            </w:pPr>
            <w:r>
              <w:t xml:space="preserve">2,091,115</w:t>
            </w:r>
          </w:p>
        </w:tc>
      </w:tr>
    </w:tbl>
    <w:bookmarkEnd w:id="22"/>
    <w:bookmarkStart w:id="24" w:name="X06f751c0fef37426aad28df54ec1acd620508e5"/>
    <w:p>
      <w:pPr>
        <w:pStyle w:val="Heading2"/>
      </w:pPr>
      <w:r>
        <w:t xml:space="preserve">Terms &amp; Conditions of This Quotation Estimate</w:t>
      </w:r>
    </w:p>
    <w:bookmarkStart w:id="23" w:name="important-notes-for-the-client"/>
    <w:p>
      <w:pPr>
        <w:pStyle w:val="Heading3"/>
      </w:pPr>
      <w:r>
        <w:t xml:space="preserve">Important Notes for the Client</w:t>
      </w:r>
    </w:p>
    <w:p>
      <w:pPr>
        <w:numPr>
          <w:ilvl w:val="0"/>
          <w:numId w:val="1001"/>
        </w:numPr>
        <w:pStyle w:val="Compact"/>
      </w:pPr>
      <w:r>
        <w:t xml:space="preserve">This Quotation Estimate is valid for thirty (30) calendar days from the date of issue. Prices are quoted in Kenyan Shillings (KES) and are subject to revision upon expiry.</w:t>
      </w:r>
    </w:p>
    <w:p>
      <w:pPr>
        <w:numPr>
          <w:ilvl w:val="0"/>
          <w:numId w:val="1001"/>
        </w:numPr>
        <w:pStyle w:val="Compact"/>
      </w:pPr>
      <w:r>
        <w:t xml:space="preserve">All ophthalmologist services will be delivered at the East African Vision Centre facility in Westlands, Nairobi, Kenya, unless otherwise agreed in writing for the on-site screening camp.</w:t>
      </w:r>
    </w:p>
    <w:p>
      <w:pPr>
        <w:numPr>
          <w:ilvl w:val="0"/>
          <w:numId w:val="1001"/>
        </w:numPr>
        <w:pStyle w:val="Compact"/>
      </w:pPr>
      <w:r>
        <w:t xml:space="preserve">Payment terms: 50% advance payment upon acceptance of this Quotation Estimate; the remaining 50% to be settled within fourteen (14) days of completion of all scheduled ophthalmologist services.</w:t>
      </w:r>
    </w:p>
    <w:p>
      <w:pPr>
        <w:numPr>
          <w:ilvl w:val="0"/>
          <w:numId w:val="1001"/>
        </w:numPr>
        <w:pStyle w:val="Compact"/>
      </w:pPr>
      <w:r>
        <w:t xml:space="preserve">Cancellation or rescheduling of any ophthalmologist appointment must be communicated at least forty-eight (48) hours in advance. A 20% fee applies to last-minute cancellations of surgical procedures.</w:t>
      </w:r>
    </w:p>
    <w:p>
      <w:pPr>
        <w:numPr>
          <w:ilvl w:val="0"/>
          <w:numId w:val="1001"/>
        </w:numPr>
        <w:pStyle w:val="Compact"/>
      </w:pPr>
      <w:r>
        <w:t xml:space="preserve">All surgical procedures, including cataract surgery, are performed by a board-certified Ophthalmologist registered with the KMPDC. Informed consent forms will be obtained prior to any invasive procedure.</w:t>
      </w:r>
    </w:p>
    <w:p>
      <w:pPr>
        <w:numPr>
          <w:ilvl w:val="0"/>
          <w:numId w:val="1001"/>
        </w:numPr>
        <w:pStyle w:val="Compact"/>
      </w:pPr>
      <w:r>
        <w:t xml:space="preserve">This Quotation Estimate does not constitute a binding contract. A formal service agreement will be executed upon written acceptance by both parties.</w:t>
      </w:r>
    </w:p>
    <w:p>
      <w:pPr>
        <w:numPr>
          <w:ilvl w:val="0"/>
          <w:numId w:val="1001"/>
        </w:numPr>
        <w:pStyle w:val="Compact"/>
      </w:pPr>
      <w:r>
        <w:t xml:space="preserve">Any additional ophthalmologist services not listed herein will be quoted separately and require prior written approval from the client.</w:t>
      </w:r>
    </w:p>
    <w:p>
      <w:pPr>
        <w:numPr>
          <w:ilvl w:val="0"/>
          <w:numId w:val="1001"/>
        </w:numPr>
        <w:pStyle w:val="Compact"/>
      </w:pPr>
      <w:r>
        <w:t xml:space="preserve">Confidentiality of all patient medical records is maintained in full compliance with the Kenya Data Protection Act, 2019.</w:t>
      </w:r>
    </w:p>
    <w:bookmarkEnd w:id="23"/>
    <w:p>
      <w:pPr>
        <w:pStyle w:val="FirstParagraph"/>
      </w:pPr>
      <w:r>
        <w:rPr>
          <w:bCs/>
          <w:b/>
        </w:rPr>
        <w:t xml:space="preserve">For East African Vision Centre</w:t>
      </w:r>
      <w:r>
        <w:br/>
      </w:r>
      <w:r>
        <w:t xml:space="preserve">Dr. Amina Wanjiru Kamau</w:t>
      </w:r>
      <w:r>
        <w:br/>
      </w:r>
      <w:r>
        <w:t xml:space="preserve">Consultant Ophthalmologist</w:t>
      </w:r>
      <w:r>
        <w:br/>
      </w:r>
      <w:r>
        <w:t xml:space="preserve">Date: _______________</w:t>
      </w:r>
    </w:p>
    <w:p>
      <w:pPr>
        <w:pStyle w:val="BodyText"/>
      </w:pPr>
      <w:r>
        <w:rPr>
          <w:bCs/>
          <w:b/>
        </w:rPr>
        <w:t xml:space="preserve">Accepted By (Client)</w:t>
      </w:r>
      <w:r>
        <w:br/>
      </w:r>
      <w:r>
        <w:t xml:space="preserve">Mr. David Otieno</w:t>
      </w:r>
      <w:r>
        <w:br/>
      </w:r>
      <w:r>
        <w:t xml:space="preserve">Procurement Manager, Mwanza Health &amp; Wellness Group Ltd.</w:t>
      </w:r>
      <w:r>
        <w:br/>
      </w:r>
      <w:r>
        <w:t xml:space="preserve">Date: _______________</w:t>
      </w:r>
    </w:p>
    <w:p>
      <w:pPr>
        <w:pStyle w:val="BodyText"/>
      </w:pPr>
      <w:r>
        <w:t xml:space="preserve">East African Vision Centre — Ophthalmologist &amp; Eye Care Specialists — Kenya Nairobi</w:t>
      </w:r>
      <w:r>
        <w:br/>
      </w:r>
      <w:r>
        <w:t xml:space="preserve">This Quotation Estimate is generated electronically and is valid without a physical stamp.</w:t>
      </w:r>
      <w:r>
        <w:br/>
      </w:r>
      <w:r>
        <w:t xml:space="preserve">© 2025 East African Vision Centre.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Kenya Nairobi</dc:title>
  <dc:creator/>
  <dc:language>en</dc:language>
  <cp:keywords/>
  <dcterms:created xsi:type="dcterms:W3CDTF">2026-10-10T07:21:10Z</dcterms:created>
  <dcterms:modified xsi:type="dcterms:W3CDTF">2026-10-10T07:21:10Z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