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Clarity Vision &amp; Eye Care Centre</w:t>
      </w:r>
    </w:p>
    <w:p>
      <w:pPr>
        <w:pStyle w:val="BodyText"/>
      </w:pPr>
      <w:r>
        <w:t xml:space="preserve">Plot 47-B, Shahnawaz Baig Road, DHA Phase 5,</w:t>
      </w:r>
      <w:r>
        <w:t xml:space="preserve"> </w:t>
      </w:r>
      <w:r>
        <w:t xml:space="preserve">Pakistan Karachi</w:t>
      </w:r>
    </w:p>
    <w:p>
      <w:pPr>
        <w:pStyle w:val="BodyText"/>
      </w:pPr>
      <w:r>
        <w:t xml:space="preserve">Phone: +92-21-3584-7721 | Email: estimates@clarityvision.pk</w:t>
      </w:r>
    </w:p>
    <w:p>
      <w:pPr>
        <w:pStyle w:val="BodyText"/>
      </w:pPr>
      <w:r>
        <w:t xml:space="preserve">NTN: 7845210-3 | PEIN: 3020114-8</w:t>
      </w:r>
    </w:p>
    <w:bookmarkEnd w:id="20"/>
    <w:p>
      <w:pPr>
        <w:pStyle w:val="BodyText"/>
      </w:pPr>
      <w:r>
        <w:rPr>
          <w:bCs/>
          <w:b/>
        </w:rPr>
        <w:t xml:space="preserve">Quotation No.:</w:t>
      </w:r>
      <w:r>
        <w:t xml:space="preserve"> </w:t>
      </w:r>
      <w:r>
        <w:t xml:space="preserve">QTE-2025-KHI-0487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Ayesha Raza, Consultant Ophthalmologist</w:t>
      </w:r>
    </w:p>
    <w:p>
      <w:pPr>
        <w:pStyle w:val="BodyText"/>
      </w:pPr>
      <w:r>
        <w:t xml:space="preserve">1.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Imran Siddiqui</w:t>
            </w:r>
          </w:p>
        </w:tc>
      </w:tr>
      <w:tr>
        <w:tc>
          <w:tcPr/>
          <w:p>
            <w:pPr>
              <w:pStyle w:val="Compact"/>
              <w:jc w:val="left"/>
            </w:pPr>
            <w:r>
              <w:rPr>
                <w:bCs/>
                <w:b/>
              </w:rPr>
              <w:t xml:space="preserve">Address:</w:t>
            </w:r>
          </w:p>
        </w:tc>
        <w:tc>
          <w:tcPr/>
          <w:p>
            <w:pPr>
              <w:pStyle w:val="Compact"/>
              <w:jc w:val="left"/>
            </w:pPr>
            <w:r>
              <w:t xml:space="preserve">House 22, Street 9, Clifton Block 4,</w:t>
            </w:r>
            <w:r>
              <w:t xml:space="preserve"> </w:t>
            </w:r>
            <w:r>
              <w:t xml:space="preserve">Pakistan Karachi</w:t>
            </w:r>
            <w:r>
              <w:t xml:space="preserve">, Sindh</w:t>
            </w:r>
          </w:p>
        </w:tc>
      </w:tr>
      <w:tr>
        <w:tc>
          <w:tcPr/>
          <w:p>
            <w:pPr>
              <w:pStyle w:val="Compact"/>
              <w:jc w:val="left"/>
            </w:pPr>
            <w:r>
              <w:rPr>
                <w:bCs/>
                <w:b/>
              </w:rPr>
              <w:t xml:space="preserve">Contact Number:</w:t>
            </w:r>
          </w:p>
        </w:tc>
        <w:tc>
          <w:tcPr/>
          <w:p>
            <w:pPr>
              <w:pStyle w:val="Compact"/>
              <w:jc w:val="left"/>
            </w:pPr>
            <w:r>
              <w:t xml:space="preserve">+92-300-4567891</w:t>
            </w:r>
          </w:p>
        </w:tc>
      </w:tr>
      <w:tr>
        <w:tc>
          <w:tcPr/>
          <w:p>
            <w:pPr>
              <w:pStyle w:val="Compact"/>
              <w:jc w:val="left"/>
            </w:pPr>
            <w:r>
              <w:rPr>
                <w:bCs/>
                <w:b/>
              </w:rPr>
              <w:t xml:space="preserve">Insurance Provider:</w:t>
            </w:r>
          </w:p>
        </w:tc>
        <w:tc>
          <w:tcPr/>
          <w:p>
            <w:pPr>
              <w:pStyle w:val="Compact"/>
              <w:jc w:val="left"/>
            </w:pPr>
            <w:r>
              <w:t xml:space="preserve">State Life Insurance Corporation of Pakistan (SLIC)</w:t>
            </w:r>
          </w:p>
        </w:tc>
      </w:tr>
      <w:tr>
        <w:tc>
          <w:tcPr/>
          <w:p>
            <w:pPr>
              <w:pStyle w:val="Compact"/>
              <w:jc w:val="left"/>
            </w:pPr>
            <w:r>
              <w:rPr>
                <w:bCs/>
                <w:b/>
              </w:rPr>
              <w:t xml:space="preserve">Policy Reference:</w:t>
            </w:r>
          </w:p>
        </w:tc>
        <w:tc>
          <w:tcPr/>
          <w:p>
            <w:pPr>
              <w:pStyle w:val="Compact"/>
              <w:jc w:val="left"/>
            </w:pPr>
            <w:r>
              <w:t xml:space="preserve">SLIC-2024-88721</w:t>
            </w:r>
          </w:p>
        </w:tc>
      </w:tr>
    </w:tbl>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issued by Clarity Vision &amp; Eye Care Centre, a licensed and accredited ophthalmic facility operating in</w:t>
      </w:r>
      <w:r>
        <w:t xml:space="preserve"> </w:t>
      </w:r>
      <w:r>
        <w:t xml:space="preserve">Pakistan Karachi</w:t>
      </w:r>
      <w:r>
        <w:t xml:space="preserve">, to provide a comprehensive, itemized breakdown of all anticipated costs associated with the planned ophthalmological treatment and surgical intervention for the above-named client. The services described herein are to be performed by a board-certified</w:t>
      </w:r>
      <w:r>
        <w:t xml:space="preserve"> </w:t>
      </w:r>
      <w:r>
        <w:t xml:space="preserve">Ophthalmologist</w:t>
      </w:r>
      <w:r>
        <w:t xml:space="preserve"> </w:t>
      </w:r>
      <w:r>
        <w:t xml:space="preserve">and the supporting surgical team at our facility located in DHA Phase 5, Karachi. This document serves as a formal financial projection and does not constitute a binding contract until countersigned by both parties.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Pre-Operative Ophthalmic Examination (including biometry, OCT, fundus photography, and visual field testing) conducted by the Consultant Ophthalmologist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Phacoemulsification Cataract Surgery with Premium Toric Intraocular Lens (IOL) Implantation – Right Eye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Phacoemulsification Cataract Surgery with Premium Toric Intraocular Lens (IOL) Implantation – Left Eye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Pre-operative Laboratory Investigations (CBC, ESR, Blood Sugar, Coagulation Profile, Hepatitis Panel, ECG, Chest X-Ray)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5</w:t>
            </w:r>
          </w:p>
        </w:tc>
        <w:tc>
          <w:tcPr/>
          <w:p>
            <w:pPr>
              <w:pStyle w:val="Compact"/>
              <w:jc w:val="left"/>
            </w:pPr>
            <w:r>
              <w:t xml:space="preserve">Day-Care Surgical Facility Charges (operating theatre, anesthesia, nursing staff, recovery room) – 2 sessions</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6</w:t>
            </w:r>
          </w:p>
        </w:tc>
        <w:tc>
          <w:tcPr/>
          <w:p>
            <w:pPr>
              <w:pStyle w:val="Compact"/>
              <w:jc w:val="left"/>
            </w:pPr>
            <w:r>
              <w:t xml:space="preserve">Post-Operative Medications (antibiotic eye drops, anti-inflammatory drops, lubricants) – 30-day supply</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Post-Operative Follow-Up Consultations with the Ophthalmologist (Day 1, Day 7, Day 30, Day 90)</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8</w:t>
            </w:r>
          </w:p>
        </w:tc>
        <w:tc>
          <w:tcPr/>
          <w:p>
            <w:pPr>
              <w:pStyle w:val="Compact"/>
              <w:jc w:val="left"/>
            </w:pPr>
            <w:r>
              <w:t xml:space="preserve">Protective Eye Shield and Post-Operative Eyewear</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9</w:t>
            </w:r>
          </w:p>
        </w:tc>
        <w:tc>
          <w:tcPr/>
          <w:p>
            <w:pPr>
              <w:pStyle w:val="Compact"/>
              <w:jc w:val="left"/>
            </w:pPr>
            <w:r>
              <w:t xml:space="preserve">Emergency / Complication Contingency Fund (estimated 5% of surgical cost)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gridSpan w:val="4"/>
          </w:tcPr>
          <w:p>
            <w:pPr>
              <w:pStyle w:val="Compact"/>
              <w:jc w:val="right"/>
            </w:pPr>
            <w:r>
              <w:t xml:space="preserve">Subtotal (PKR)</w:t>
            </w:r>
          </w:p>
        </w:tc>
        <w:tc>
          <w:tcPr/>
          <w:p>
            <w:pPr>
              <w:pStyle w:val="Compact"/>
              <w:jc w:val="left"/>
            </w:pPr>
            <w:r>
              <w:t xml:space="preserve">476,500</w:t>
            </w:r>
          </w:p>
        </w:tc>
      </w:tr>
      <w:tr>
        <w:tc>
          <w:tcPr>
            <w:gridSpan w:val="4"/>
          </w:tcPr>
          <w:p>
            <w:pPr>
              <w:pStyle w:val="Compact"/>
              <w:jc w:val="right"/>
            </w:pPr>
            <w:r>
              <w:t xml:space="preserve">Sales Tax (18% as per Sindh FBR regulations)</w:t>
            </w:r>
          </w:p>
        </w:tc>
        <w:tc>
          <w:tcPr/>
          <w:p>
            <w:pPr>
              <w:pStyle w:val="Compact"/>
              <w:jc w:val="left"/>
            </w:pPr>
            <w:r>
              <w:t xml:space="preserve">85,770</w:t>
            </w:r>
          </w:p>
        </w:tc>
      </w:tr>
      <w:tr>
        <w:tc>
          <w:tcPr>
            <w:gridSpan w:val="4"/>
          </w:tcPr>
          <w:p>
            <w:pPr>
              <w:pStyle w:val="Compact"/>
              <w:jc w:val="right"/>
            </w:pPr>
            <w:r>
              <w:rPr>
                <w:bCs/>
                <w:b/>
              </w:rPr>
              <w:t xml:space="preserve">GRAND TOTAL (PKR)</w:t>
            </w:r>
          </w:p>
        </w:tc>
        <w:tc>
          <w:tcPr/>
          <w:p>
            <w:pPr>
              <w:pStyle w:val="Compact"/>
              <w:jc w:val="left"/>
            </w:pPr>
            <w:r>
              <w:rPr>
                <w:bCs/>
                <w:b/>
              </w:rPr>
              <w:t xml:space="preserve">562,270</w:t>
            </w:r>
          </w:p>
        </w:tc>
      </w:tr>
    </w:tbl>
    <w:p>
      <w:pPr>
        <w:pStyle w:val="BodyText"/>
      </w:pPr>
      <w:r>
        <w:t xml:space="preserve">4. Professional Notes from the Ophthalmologist</w:t>
      </w:r>
    </w:p>
    <w:p>
      <w:pPr>
        <w:pStyle w:val="BodyText"/>
      </w:pPr>
      <w:r>
        <w:t xml:space="preserve">The undersigned</w:t>
      </w:r>
      <w:r>
        <w:t xml:space="preserve"> </w:t>
      </w:r>
      <w:r>
        <w:t xml:space="preserve">Ophthalmologist</w:t>
      </w:r>
      <w:r>
        <w:t xml:space="preserve">, Dr. Ayesha Raza (FCPS Ophthalmology, MRCS, FICO), has evaluated the client's bilateral cataractous lenses with moderate astigmatism. The recommended surgical approach is sequential phacoemulsification with toric IOL implantation to address both cataract and refractive error simultaneously. The procedure is considered low-risk given the client's overall systemic health. All surgical instruments and implants are sourced from internationally certified manufacturers and are single-use to ensure the highest standards of patient safety. This</w:t>
      </w:r>
      <w:r>
        <w:t xml:space="preserve"> </w:t>
      </w:r>
      <w:r>
        <w:t xml:space="preserve">Quotation Estimate</w:t>
      </w:r>
      <w:r>
        <w:t xml:space="preserve"> </w:t>
      </w:r>
      <w:r>
        <w:t xml:space="preserve">reflects current market rates in</w:t>
      </w:r>
      <w:r>
        <w:t xml:space="preserve"> </w:t>
      </w:r>
      <w:r>
        <w:t xml:space="preserve">Pakistan Karachi</w:t>
      </w:r>
      <w:r>
        <w:t xml:space="preserve"> </w:t>
      </w:r>
      <w:r>
        <w:t xml:space="preserve">as of June 2025 and is subject to revision should material costs or regulatory tax rates change before the scheduled procedure date.</w:t>
      </w:r>
    </w:p>
    <w:p>
      <w:pPr>
        <w:pStyle w:val="BodyText"/>
      </w:pPr>
      <w:r>
        <w:rPr>
          <w:bCs/>
          <w:b/>
        </w:rPr>
        <w:t xml:space="preserve">Note:</w:t>
      </w:r>
      <w:r>
        <w:t xml:space="preserve"> </w:t>
      </w:r>
      <w:r>
        <w:t xml:space="preserve">The contingency fund (Item 9) will be refunded in full if no complications arise during or after the surgical procedure. The final settlement will be adjusted accordingly.</w:t>
      </w:r>
    </w:p>
    <w:p>
      <w:pPr>
        <w:pStyle w:val="BodyText"/>
      </w:pPr>
      <w:r>
        <w:t xml:space="preserve">5. Payment Terms and Schedule</w:t>
      </w:r>
    </w:p>
    <w:p>
      <w:pPr>
        <w:numPr>
          <w:ilvl w:val="0"/>
          <w:numId w:val="1001"/>
        </w:numPr>
        <w:pStyle w:val="Compact"/>
      </w:pPr>
      <w:r>
        <w:rPr>
          <w:bCs/>
          <w:b/>
        </w:rPr>
        <w:t xml:space="preserve">Advance Payment (50%):</w:t>
      </w:r>
      <w:r>
        <w:t xml:space="preserve"> </w:t>
      </w:r>
      <w:r>
        <w:t xml:space="preserve">PKR 281,135 to be paid upon acceptance of this Quotation Estimate and scheduling of the surgery. Payable via bank transfer to Clarity Vision &amp; Eye Care Centre, Meezan Bank, DHA Branch, Karachi (Account: 0045-8821-3377).</w:t>
      </w:r>
    </w:p>
    <w:p>
      <w:pPr>
        <w:numPr>
          <w:ilvl w:val="0"/>
          <w:numId w:val="1001"/>
        </w:numPr>
        <w:pStyle w:val="Compact"/>
      </w:pPr>
      <w:r>
        <w:rPr>
          <w:bCs/>
          <w:b/>
        </w:rPr>
        <w:t xml:space="preserve">Balance Payment (50%):</w:t>
      </w:r>
      <w:r>
        <w:t xml:space="preserve"> </w:t>
      </w:r>
      <w:r>
        <w:t xml:space="preserve">PKR 281,135 to be settled within 7 working days following the completion of the second surgical session and final post-operative review.</w:t>
      </w:r>
    </w:p>
    <w:p>
      <w:pPr>
        <w:numPr>
          <w:ilvl w:val="0"/>
          <w:numId w:val="1001"/>
        </w:numPr>
        <w:pStyle w:val="Compact"/>
      </w:pPr>
      <w:r>
        <w:t xml:space="preserve">Insurance claims, if applicable, will be processed directly by our billing department with the client's insurance provider. The client is responsible for any co-payment or deductible amounts as per the SLIC policy terms.</w:t>
      </w:r>
    </w:p>
    <w:p>
      <w:pPr>
        <w:numPr>
          <w:ilvl w:val="0"/>
          <w:numId w:val="1001"/>
        </w:numPr>
        <w:pStyle w:val="Compact"/>
      </w:pPr>
      <w:r>
        <w:t xml:space="preserve">All payments are to be made in Pakistani Rupees (PKR). No foreign currency transactions are accepted at this facility.</w:t>
      </w:r>
    </w:p>
    <w:p>
      <w:pPr>
        <w:pStyle w:val="FirstParagraph"/>
      </w:pPr>
      <w:r>
        <w:t xml:space="preserve">6. Terms and Conditions</w:t>
      </w:r>
    </w:p>
    <w:p>
      <w:pPr>
        <w:numPr>
          <w:ilvl w:val="0"/>
          <w:numId w:val="1002"/>
        </w:numPr>
        <w:pStyle w:val="Compact"/>
      </w:pPr>
      <w:r>
        <w:t xml:space="preserve">This Quotation Estimate is valid for a period of thirty (30) calendar days from the date of issue. Beyond this period, rates may be revised due to changes in implant pricing, tax regulations, or operational costs in Pakistan Karachi.</w:t>
      </w:r>
    </w:p>
    <w:p>
      <w:pPr>
        <w:numPr>
          <w:ilvl w:val="0"/>
          <w:numId w:val="1002"/>
        </w:numPr>
        <w:pStyle w:val="Compact"/>
      </w:pPr>
      <w:r>
        <w:t xml:space="preserve">The Ophthalmologist reserves the right to modify the surgical plan intra-operatively if unforeseen anatomical or pathological conditions are encountered. Any additional costs arising from such modifications will be communicated to the client or their authorized representative prior to proceeding.</w:t>
      </w:r>
    </w:p>
    <w:p>
      <w:pPr>
        <w:numPr>
          <w:ilvl w:val="0"/>
          <w:numId w:val="1002"/>
        </w:numPr>
        <w:pStyle w:val="Compact"/>
      </w:pPr>
      <w:r>
        <w:t xml:space="preserve">The facility complies with all regulations set forth by the Sindh Medical Council, the Pakistan Medical Commission (PMC), and the Sindh Food and Drug Authority (SFDA).</w:t>
      </w:r>
    </w:p>
    <w:p>
      <w:pPr>
        <w:numPr>
          <w:ilvl w:val="0"/>
          <w:numId w:val="1002"/>
        </w:numPr>
        <w:pStyle w:val="Compact"/>
      </w:pPr>
      <w:r>
        <w:t xml:space="preserve">Client data and medical records are protected under the Pakistan Personal Data Protection Bill and are handled in strict confidence.</w:t>
      </w:r>
    </w:p>
    <w:p>
      <w:pPr>
        <w:numPr>
          <w:ilvl w:val="0"/>
          <w:numId w:val="1002"/>
        </w:numPr>
        <w:pStyle w:val="Compact"/>
      </w:pPr>
      <w:r>
        <w:t xml:space="preserve">Any dispute arising from this Quotation Estimate shall be subject to the exclusive jurisdiction of the courts in Karachi, Sindh, Pakistan.</w:t>
      </w:r>
    </w:p>
    <w:p>
      <w:pPr>
        <w:numPr>
          <w:ilvl w:val="0"/>
          <w:numId w:val="1002"/>
        </w:numPr>
        <w:pStyle w:val="Compact"/>
      </w:pPr>
      <w:r>
        <w:t xml:space="preserve">This document is a financial estimate only and does not guarantee specific visual outcomes. The Ophthalmologist will provide a detailed informed consent form prior to surgery.</w:t>
      </w:r>
    </w:p>
    <w:p>
      <w:pPr>
        <w:pStyle w:val="FirstParagraph"/>
      </w:pPr>
      <w:r>
        <w:t xml:space="preserve">7. Acceptance and Authorization</w:t>
      </w:r>
    </w:p>
    <w:p>
      <w:pPr>
        <w:pStyle w:val="BodyText"/>
      </w:pPr>
      <w:r>
        <w:t xml:space="preserve">By signing below, the client acknowledges receipt of this Quotation Estimate, confirms understanding of the scope of ophthalmological services to be provided by the Ophthalmologist at Clarity Vision &amp; Eye Care Centre in Pakistan Karachi, and agrees to the payment terms and conditions outlined herein.</w:t>
      </w:r>
    </w:p>
    <w:p>
      <w:pPr>
        <w:pStyle w:val="BodyText"/>
      </w:pPr>
      <w:r>
        <w:rPr>
          <w:bCs/>
          <w:b/>
        </w:rPr>
        <w:t xml:space="preserve">Client Signature</w:t>
      </w:r>
    </w:p>
    <w:p>
      <w:pPr>
        <w:pStyle w:val="BodyText"/>
      </w:pPr>
      <w:r>
        <w:t xml:space="preserve">Name: Mr. Imran Siddiqui</w:t>
      </w:r>
    </w:p>
    <w:p>
      <w:pPr>
        <w:pStyle w:val="BodyText"/>
      </w:pPr>
      <w:r>
        <w:t xml:space="preserve">Date: _______________</w:t>
      </w:r>
    </w:p>
    <w:p>
      <w:pPr>
        <w:pStyle w:val="BodyText"/>
      </w:pPr>
      <w:r>
        <w:rPr>
          <w:bCs/>
          <w:b/>
        </w:rPr>
        <w:t xml:space="preserve">Authorized Representative</w:t>
      </w:r>
    </w:p>
    <w:p>
      <w:pPr>
        <w:pStyle w:val="BodyText"/>
      </w:pPr>
      <w:r>
        <w:t xml:space="preserve">Dr. Ayesha Raza, Consultant Ophthalmologist</w:t>
      </w:r>
    </w:p>
    <w:p>
      <w:pPr>
        <w:pStyle w:val="BodyText"/>
      </w:pPr>
      <w:r>
        <w:t xml:space="preserve">Clarity Vision &amp; Eye Care Centre, Karachi</w:t>
      </w:r>
    </w:p>
    <w:p>
      <w:pPr>
        <w:pStyle w:val="BodyText"/>
      </w:pPr>
      <w:r>
        <w:t xml:space="preserve">Date: _______________</w:t>
      </w:r>
    </w:p>
    <w:p>
      <w:pPr>
        <w:pStyle w:val="BodyText"/>
      </w:pPr>
      <w:r>
        <w:t xml:space="preserve">This Quotation Estimate was prepared by Clarity Vision &amp; Eye Care Centre, DHA Phase 5, Pakistan Karachi.</w:t>
      </w:r>
    </w:p>
    <w:p>
      <w:pPr>
        <w:pStyle w:val="BodyText"/>
      </w:pPr>
      <w:r>
        <w:t xml:space="preserve">Document Reference: QTE-2025-KHI-0487 | Page 1 of 1 | Generated on 14 June 2025</w:t>
      </w:r>
    </w:p>
    <w:p>
      <w:pPr>
        <w:pStyle w:val="BodyText"/>
      </w:pPr>
      <w:r>
        <w:t xml:space="preserve">© 2025 Clarity Vision &amp; Eye Care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Pakistan Karachi</dc:title>
  <dc:creator/>
  <dc:language>en</dc:language>
  <cp:keywords/>
  <dcterms:created xsi:type="dcterms:W3CDTF">2026-10-10T09:53:02Z</dcterms:created>
  <dcterms:modified xsi:type="dcterms:W3CDTF">2026-10-10T09:53:02Z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