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Ophthalmologist Services — Venezuela Caracas</w:t>
      </w:r>
    </w:p>
    <w:p>
      <w:pPr>
        <w:pStyle w:val="BodyText"/>
      </w:pPr>
      <w:r>
        <w:t xml:space="preserve">OFFICIAL MEDICAL ESTIMATE DOCUMENT</w:t>
      </w:r>
    </w:p>
    <w:bookmarkEnd w:id="20"/>
    <w:p>
      <w:pPr>
        <w:pStyle w:val="BodyText"/>
      </w:pPr>
      <w:r>
        <w:rPr>
          <w:bCs/>
          <w:b/>
        </w:rPr>
        <w:t xml:space="preserve">Quotation Estimate No.:</w:t>
      </w:r>
      <w:r>
        <w:t xml:space="preserve"> </w:t>
      </w:r>
      <w:r>
        <w:t xml:space="preserve">OPH-CAR-2025-0487</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Issued By:</w:t>
      </w:r>
      <w:r>
        <w:t xml:space="preserve"> </w:t>
      </w:r>
      <w:r>
        <w:t xml:space="preserve">Dr. Alejandro R. Mendoza, M.D. (Ophthalmologist)</w:t>
      </w:r>
      <w:r>
        <w:br/>
      </w:r>
      <w:r>
        <w:rPr>
          <w:bCs/>
          <w:b/>
        </w:rPr>
        <w:t xml:space="preserve">Clinic:</w:t>
      </w:r>
      <w:r>
        <w:t xml:space="preserve"> </w:t>
      </w:r>
      <w:r>
        <w:t xml:space="preserve">Centro Oftalmológico del Este</w:t>
      </w:r>
      <w:r>
        <w:br/>
      </w:r>
      <w:r>
        <w:rPr>
          <w:bCs/>
          <w:b/>
        </w:rPr>
        <w:t xml:space="preserve">Location:</w:t>
      </w:r>
      <w:r>
        <w:t xml:space="preserve"> </w:t>
      </w:r>
      <w:r>
        <w:t xml:space="preserve">Av. Francisco de Miranda, Torre Este, Piso 12</w:t>
      </w:r>
      <w:r>
        <w:br/>
      </w:r>
      <w:r>
        <w:rPr>
          <w:bCs/>
          <w:b/>
        </w:rPr>
        <w:t xml:space="preserve">City:</w:t>
      </w:r>
      <w:r>
        <w:t xml:space="preserve"> </w:t>
      </w:r>
      <w:r>
        <w:t xml:space="preserve">Venezuela Caracas, 1060-T</w:t>
      </w:r>
      <w:r>
        <w:br/>
      </w:r>
      <w:r>
        <w:rPr>
          <w:bCs/>
          <w:b/>
        </w:rPr>
        <w:t xml:space="preserve">Phone:</w:t>
      </w:r>
      <w:r>
        <w:t xml:space="preserve"> </w:t>
      </w:r>
      <w:r>
        <w:t xml:space="preserve">+58 (212) 555-0147</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Patient Name:</w:t>
            </w:r>
            <w:r>
              <w:t xml:space="preserve"> </w:t>
            </w:r>
            <w:r>
              <w:t xml:space="preserve">María Fernanda Gutiérrez López</w:t>
            </w:r>
          </w:p>
        </w:tc>
        <w:tc>
          <w:tcPr/>
          <w:p>
            <w:pPr>
              <w:pStyle w:val="Compact"/>
              <w:jc w:val="left"/>
            </w:pPr>
            <w:r>
              <w:rPr>
                <w:bCs/>
                <w:b/>
              </w:rPr>
              <w:t xml:space="preserve">CI No.:</w:t>
            </w:r>
            <w:r>
              <w:t xml:space="preserve"> </w:t>
            </w:r>
            <w:r>
              <w:t xml:space="preserve">V-18.452.391</w:t>
            </w:r>
          </w:p>
        </w:tc>
      </w:tr>
      <w:tr>
        <w:tc>
          <w:tcPr/>
          <w:p>
            <w:pPr>
              <w:pStyle w:val="Compact"/>
              <w:jc w:val="left"/>
            </w:pPr>
            <w:r>
              <w:rPr>
                <w:bCs/>
                <w:b/>
              </w:rPr>
              <w:t xml:space="preserve">Address:</w:t>
            </w:r>
            <w:r>
              <w:t xml:space="preserve"> </w:t>
            </w:r>
            <w:r>
              <w:t xml:space="preserve">Urbanización Los Palos Grandes, Venezuela Caracas</w:t>
            </w:r>
          </w:p>
        </w:tc>
        <w:tc>
          <w:tcPr/>
          <w:p>
            <w:pPr>
              <w:pStyle w:val="Compact"/>
              <w:jc w:val="left"/>
            </w:pPr>
            <w:r>
              <w:rPr>
                <w:bCs/>
                <w:b/>
              </w:rPr>
              <w:t xml:space="preserve">Phone:</w:t>
            </w:r>
            <w:r>
              <w:t xml:space="preserve"> </w:t>
            </w:r>
            <w:r>
              <w:t xml:space="preserve">+58 (412) 789-2234</w:t>
            </w:r>
          </w:p>
        </w:tc>
      </w:tr>
      <w:tr>
        <w:tc>
          <w:tcPr/>
          <w:p>
            <w:pPr>
              <w:pStyle w:val="Compact"/>
              <w:jc w:val="left"/>
            </w:pPr>
            <w:r>
              <w:rPr>
                <w:bCs/>
                <w:b/>
              </w:rPr>
              <w:t xml:space="preserve">Insurance Provider:</w:t>
            </w:r>
            <w:r>
              <w:t xml:space="preserve"> </w:t>
            </w:r>
            <w:r>
              <w:t xml:space="preserve">CENCOSUD Seguros</w:t>
            </w:r>
          </w:p>
        </w:tc>
        <w:tc>
          <w:tcPr/>
          <w:p>
            <w:pPr>
              <w:pStyle w:val="Compact"/>
              <w:jc w:val="left"/>
            </w:pPr>
            <w:r>
              <w:rPr>
                <w:bCs/>
                <w:b/>
              </w:rPr>
              <w:t xml:space="preserve">Policy No.:</w:t>
            </w:r>
            <w:r>
              <w:t xml:space="preserve"> </w:t>
            </w:r>
            <w:r>
              <w:t xml:space="preserve">CS-2025-88412</w:t>
            </w:r>
          </w:p>
        </w:tc>
      </w:tr>
    </w:tbl>
    <w:p>
      <w:pPr>
        <w:pStyle w:val="BodyText"/>
      </w:pPr>
      <w:r>
        <w:t xml:space="preserve">2. Purpose of This Quotation Estimate</w:t>
      </w:r>
    </w:p>
    <w:p>
      <w:pPr>
        <w:pStyle w:val="BodyText"/>
      </w:pPr>
      <w:r>
        <w:t xml:space="preserve">This</w:t>
      </w:r>
      <w:r>
        <w:t xml:space="preserve"> </w:t>
      </w:r>
      <w:r>
        <w:t xml:space="preserve">Quotation Estimate</w:t>
      </w:r>
      <w:r>
        <w:t xml:space="preserve"> </w:t>
      </w:r>
      <w:r>
        <w:t xml:space="preserve">document has been prepared by our licensed</w:t>
      </w:r>
      <w:r>
        <w:t xml:space="preserve"> </w:t>
      </w:r>
      <w:r>
        <w:t xml:space="preserve">Ophthalmologist</w:t>
      </w:r>
      <w:r>
        <w:t xml:space="preserve"> </w:t>
      </w:r>
      <w:r>
        <w:t xml:space="preserve">at Centro Oftalmológico del Este, located in the heart of</w:t>
      </w:r>
      <w:r>
        <w:t xml:space="preserve"> </w:t>
      </w:r>
      <w:r>
        <w:t xml:space="preserve">Venezuela Caracas</w:t>
      </w:r>
      <w:r>
        <w:t xml:space="preserve">, to provide the patient and/or their insurance provider with a comprehensive, itemized breakdown of all anticipated ophthalmological services, diagnostic procedures, and therapeutic interventions required. This</w:t>
      </w:r>
      <w:r>
        <w:t xml:space="preserve"> </w:t>
      </w:r>
      <w:r>
        <w:t xml:space="preserve">Quotation Estimate</w:t>
      </w:r>
      <w:r>
        <w:t xml:space="preserve"> </w:t>
      </w:r>
      <w:r>
        <w:t xml:space="preserve">serves as a formal financial projection and is intended to facilitate prior authorization from the patient's health insurance carrier before any clinical procedures are performed. All pricing in this document reflects the current fee schedule of our</w:t>
      </w:r>
      <w:r>
        <w:t xml:space="preserve"> </w:t>
      </w:r>
      <w:r>
        <w:t xml:space="preserve">Ophthalmologist</w:t>
      </w:r>
      <w:r>
        <w:t xml:space="preserve"> </w:t>
      </w:r>
      <w:r>
        <w:t xml:space="preserve">practice in</w:t>
      </w:r>
      <w:r>
        <w:t xml:space="preserve"> </w:t>
      </w:r>
      <w:r>
        <w:t xml:space="preserve">Venezuela Caracas</w:t>
      </w:r>
      <w:r>
        <w:t xml:space="preserve"> </w:t>
      </w:r>
      <w:r>
        <w:t xml:space="preserve">as of the date of issue.</w:t>
      </w:r>
    </w:p>
    <w:p>
      <w:pPr>
        <w:pStyle w:val="BodyText"/>
      </w:pPr>
      <w:r>
        <w:t xml:space="preserve">3. Itemized Services &amp;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 Description</w:t>
            </w:r>
          </w:p>
        </w:tc>
        <w:tc>
          <w:tcPr/>
          <w:p>
            <w:pPr>
              <w:pStyle w:val="Compact"/>
              <w:jc w:val="left"/>
            </w:pPr>
            <w:r>
              <w:t xml:space="preserve">Ophthalmologist Specialty Area</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Comprehensive Ophthalmologist Consultation &amp; Visual Acuity Assessment</w:t>
            </w:r>
          </w:p>
        </w:tc>
        <w:tc>
          <w:tcPr/>
          <w:p>
            <w:pPr>
              <w:pStyle w:val="Compact"/>
              <w:jc w:val="left"/>
            </w:pPr>
            <w:r>
              <w:t xml:space="preserve">General Ophthalmology</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Dilated Fundus Examination with Mydriatic Drops (Tropicamide 1%)</w:t>
            </w:r>
          </w:p>
        </w:tc>
        <w:tc>
          <w:tcPr/>
          <w:p>
            <w:pPr>
              <w:pStyle w:val="Compact"/>
              <w:jc w:val="left"/>
            </w:pPr>
            <w:r>
              <w:t xml:space="preserve">Retinal Ophthalmology</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3</w:t>
            </w:r>
          </w:p>
        </w:tc>
        <w:tc>
          <w:tcPr/>
          <w:p>
            <w:pPr>
              <w:pStyle w:val="Compact"/>
              <w:jc w:val="left"/>
            </w:pPr>
            <w:r>
              <w:t xml:space="preserve">Optical Coherence Tomography (OCT) of the Macula &amp; Retinal Nerve Fiber Layer</w:t>
            </w:r>
          </w:p>
        </w:tc>
        <w:tc>
          <w:tcPr/>
          <w:p>
            <w:pPr>
              <w:pStyle w:val="Compact"/>
              <w:jc w:val="left"/>
            </w:pPr>
            <w:r>
              <w:t xml:space="preserve">Diagnostic Imaging</w:t>
            </w:r>
          </w:p>
        </w:tc>
        <w:tc>
          <w:tcPr/>
          <w:p>
            <w:pPr>
              <w:pStyle w:val="Compact"/>
              <w:jc w:val="left"/>
            </w:pPr>
            <w:r>
              <w:t xml:space="preserve">2</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4</w:t>
            </w:r>
          </w:p>
        </w:tc>
        <w:tc>
          <w:tcPr/>
          <w:p>
            <w:pPr>
              <w:pStyle w:val="Compact"/>
              <w:jc w:val="left"/>
            </w:pPr>
            <w:r>
              <w:t xml:space="preserve">Anterior Segment Biometry &amp; Intraocular Pressure Measurement (Tonometry)</w:t>
            </w:r>
          </w:p>
        </w:tc>
        <w:tc>
          <w:tcPr/>
          <w:p>
            <w:pPr>
              <w:pStyle w:val="Compact"/>
              <w:jc w:val="left"/>
            </w:pPr>
            <w:r>
              <w:t xml:space="preserve">Glaucoma Screening</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5</w:t>
            </w:r>
          </w:p>
        </w:tc>
        <w:tc>
          <w:tcPr/>
          <w:p>
            <w:pPr>
              <w:pStyle w:val="Compact"/>
              <w:jc w:val="left"/>
            </w:pPr>
            <w:r>
              <w:t xml:space="preserve">Phacoemulsification Cataract Surgery with Premium Toric IOL Implantation (Right Eye)</w:t>
            </w:r>
          </w:p>
        </w:tc>
        <w:tc>
          <w:tcPr/>
          <w:p>
            <w:pPr>
              <w:pStyle w:val="Compact"/>
              <w:jc w:val="left"/>
            </w:pPr>
            <w:r>
              <w:t xml:space="preserve">Cataract Surgery</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6</w:t>
            </w:r>
          </w:p>
        </w:tc>
        <w:tc>
          <w:tcPr/>
          <w:p>
            <w:pPr>
              <w:pStyle w:val="Compact"/>
              <w:jc w:val="left"/>
            </w:pPr>
            <w:r>
              <w:t xml:space="preserve">Post-Operative Ophthalmologist Follow-Up Visits (Week 1, Week 4, Month 3)</w:t>
            </w:r>
          </w:p>
        </w:tc>
        <w:tc>
          <w:tcPr/>
          <w:p>
            <w:pPr>
              <w:pStyle w:val="Compact"/>
              <w:jc w:val="left"/>
            </w:pPr>
            <w:r>
              <w:t xml:space="preserve">Post-Surgical Care</w:t>
            </w:r>
          </w:p>
        </w:tc>
        <w:tc>
          <w:tcPr/>
          <w:p>
            <w:pPr>
              <w:pStyle w:val="Compact"/>
              <w:jc w:val="left"/>
            </w:pPr>
            <w:r>
              <w:t xml:space="preserve">3</w:t>
            </w:r>
          </w:p>
        </w:tc>
        <w:tc>
          <w:tcPr/>
          <w:p>
            <w:pPr>
              <w:pStyle w:val="Compact"/>
              <w:jc w:val="left"/>
            </w:pPr>
            <w:r>
              <w:t xml:space="preserve">$55.00</w:t>
            </w:r>
          </w:p>
        </w:tc>
        <w:tc>
          <w:tcPr/>
          <w:p>
            <w:pPr>
              <w:pStyle w:val="Compact"/>
              <w:jc w:val="left"/>
            </w:pPr>
            <w:r>
              <w:t xml:space="preserve">$165.00</w:t>
            </w:r>
          </w:p>
        </w:tc>
      </w:tr>
      <w:tr>
        <w:tc>
          <w:tcPr/>
          <w:p>
            <w:pPr>
              <w:pStyle w:val="Compact"/>
              <w:jc w:val="left"/>
            </w:pPr>
            <w:r>
              <w:t xml:space="preserve">7</w:t>
            </w:r>
          </w:p>
        </w:tc>
        <w:tc>
          <w:tcPr/>
          <w:p>
            <w:pPr>
              <w:pStyle w:val="Compact"/>
              <w:jc w:val="left"/>
            </w:pPr>
            <w:r>
              <w:t xml:space="preserve">Prescription of Post-Operative Ophthalmic Medications (Antibiotic &amp; Anti-inflammatory Drops)</w:t>
            </w:r>
          </w:p>
        </w:tc>
        <w:tc>
          <w:tcPr/>
          <w:p>
            <w:pPr>
              <w:pStyle w:val="Compact"/>
              <w:jc w:val="left"/>
            </w:pPr>
            <w:r>
              <w:t xml:space="preserve">Pharmacological Support</w:t>
            </w:r>
          </w:p>
        </w:tc>
        <w:tc>
          <w:tcPr/>
          <w:p>
            <w:pPr>
              <w:pStyle w:val="Compact"/>
              <w:jc w:val="left"/>
            </w:pPr>
            <w:r>
              <w:t xml:space="preserve">1</w:t>
            </w:r>
          </w:p>
        </w:tc>
        <w:tc>
          <w:tcPr/>
          <w:p>
            <w:pPr>
              <w:pStyle w:val="Compact"/>
              <w:jc w:val="left"/>
            </w:pPr>
            <w:r>
              <w:t xml:space="preserve">$38.00</w:t>
            </w:r>
          </w:p>
        </w:tc>
        <w:tc>
          <w:tcPr/>
          <w:p>
            <w:pPr>
              <w:pStyle w:val="Compact"/>
              <w:jc w:val="left"/>
            </w:pPr>
            <w:r>
              <w:t xml:space="preserve">$38.00</w:t>
            </w:r>
          </w:p>
        </w:tc>
      </w:tr>
      <w:tr>
        <w:tc>
          <w:tcPr/>
          <w:p>
            <w:pPr>
              <w:pStyle w:val="Compact"/>
              <w:jc w:val="left"/>
            </w:pPr>
            <w:r>
              <w:t xml:space="preserve">8</w:t>
            </w:r>
          </w:p>
        </w:tc>
        <w:tc>
          <w:tcPr/>
          <w:p>
            <w:pPr>
              <w:pStyle w:val="Compact"/>
              <w:jc w:val="left"/>
            </w:pPr>
            <w:r>
              <w:t xml:space="preserve">Custom Prescription Spectacle Lenses (Bifocal, Anti-reflective Coating)</w:t>
            </w:r>
          </w:p>
        </w:tc>
        <w:tc>
          <w:tcPr/>
          <w:p>
            <w:pPr>
              <w:pStyle w:val="Compact"/>
              <w:jc w:val="left"/>
            </w:pPr>
            <w:r>
              <w:t xml:space="preserve">Refractive Optics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gridSpan w:val="5"/>
          </w:tcPr>
          <w:p>
            <w:pPr>
              <w:pStyle w:val="Compact"/>
              <w:jc w:val="right"/>
            </w:pPr>
            <w:r>
              <w:t xml:space="preserve">TOTAL ESTIMATED COST</w:t>
            </w:r>
          </w:p>
        </w:tc>
        <w:tc>
          <w:tcPr/>
          <w:p>
            <w:pPr>
              <w:pStyle w:val="Compact"/>
              <w:jc w:val="left"/>
            </w:pPr>
            <w:r>
              <w:t xml:space="preserve">$1,918.00</w:t>
            </w:r>
          </w:p>
        </w:tc>
      </w:tr>
    </w:tbl>
    <w:p>
      <w:pPr>
        <w:pStyle w:val="BodyText"/>
      </w:pPr>
      <w:r>
        <w:t xml:space="preserve">4. Ophthalmologist's Clinical Notes</w:t>
      </w:r>
    </w:p>
    <w:p>
      <w:pPr>
        <w:pStyle w:val="BodyText"/>
      </w:pPr>
      <w:r>
        <w:t xml:space="preserve">Based on the initial diagnostic evaluation conducted by our</w:t>
      </w:r>
      <w:r>
        <w:t xml:space="preserve"> </w:t>
      </w:r>
      <w:r>
        <w:t xml:space="preserve">Ophthalmologist</w:t>
      </w:r>
      <w:r>
        <w:t xml:space="preserve"> </w:t>
      </w:r>
      <w:r>
        <w:t xml:space="preserve">in</w:t>
      </w:r>
      <w:r>
        <w:t xml:space="preserve"> </w:t>
      </w:r>
      <w:r>
        <w:t xml:space="preserve">Venezuela Caracas</w:t>
      </w:r>
      <w:r>
        <w:t xml:space="preserve">, the patient presents with a mature cataract in the right eye (visual acuity 20/200) and early-stage age-related macular degeneration in the left eye. The</w:t>
      </w:r>
      <w:r>
        <w:t xml:space="preserve"> </w:t>
      </w:r>
      <w:r>
        <w:t xml:space="preserve">Ophthalmologist</w:t>
      </w:r>
      <w:r>
        <w:t xml:space="preserve"> </w:t>
      </w:r>
      <w:r>
        <w:t xml:space="preserve">recommends proceeding with phacoemulsification surgery on the right eye within the next 30 days to prevent further visual deterioration. The left eye will be monitored with serial OCT imaging every three months. This</w:t>
      </w:r>
      <w:r>
        <w:t xml:space="preserve"> </w:t>
      </w:r>
      <w:r>
        <w:t xml:space="preserve">Quotation Estimate</w:t>
      </w:r>
      <w:r>
        <w:t xml:space="preserve"> </w:t>
      </w:r>
      <w:r>
        <w:t xml:space="preserve">encompasses all procedures deemed medically necessary by the attending</w:t>
      </w:r>
      <w:r>
        <w:t xml:space="preserve"> </w:t>
      </w:r>
      <w:r>
        <w:t xml:space="preserve">Ophthalmologist</w:t>
      </w:r>
      <w:r>
        <w:t xml:space="preserve"> </w:t>
      </w:r>
      <w:r>
        <w:t xml:space="preserve">for the complete management of the patient's ocular conditions.</w:t>
      </w:r>
    </w:p>
    <w:p>
      <w:pPr>
        <w:pStyle w:val="BodyText"/>
      </w:pPr>
      <w:r>
        <w:t xml:space="preserve">5. Terms &amp;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the</w:t>
      </w:r>
      <w:r>
        <w:t xml:space="preserve"> </w:t>
      </w:r>
      <w:r>
        <w:t xml:space="preserve">Ophthalmologist</w:t>
      </w:r>
      <w:r>
        <w:t xml:space="preserve"> </w:t>
      </w:r>
      <w:r>
        <w:t xml:space="preserve">reserves the right to revise pricing due to changes in medical supply costs in</w:t>
      </w:r>
      <w:r>
        <w:t xml:space="preserve"> </w:t>
      </w:r>
      <w:r>
        <w:t xml:space="preserve">Venezuela Caracas</w:t>
      </w:r>
      <w:r>
        <w:t xml:space="preserve">.</w:t>
      </w:r>
    </w:p>
    <w:p>
      <w:pPr>
        <w:numPr>
          <w:ilvl w:val="0"/>
          <w:numId w:val="1001"/>
        </w:numPr>
        <w:pStyle w:val="Compact"/>
      </w:pPr>
      <w:r>
        <w:rPr>
          <w:bCs/>
          <w:b/>
        </w:rPr>
        <w:t xml:space="preserve">Payment Terms:</w:t>
      </w:r>
      <w:r>
        <w:t xml:space="preserve"> </w:t>
      </w:r>
      <w:r>
        <w:t xml:space="preserve">A 50% deposit is required at the time of surgical scheduling. The remaining 50% is due within seven (7) business days following the completion of all post-operative visits. Insurance reimbursement, where applicable, will be processed directly by the provider.</w:t>
      </w:r>
    </w:p>
    <w:p>
      <w:pPr>
        <w:numPr>
          <w:ilvl w:val="0"/>
          <w:numId w:val="1001"/>
        </w:numPr>
        <w:pStyle w:val="Compact"/>
      </w:pPr>
      <w:r>
        <w:rPr>
          <w:bCs/>
          <w:b/>
        </w:rPr>
        <w:t xml:space="preserve">Currency:</w:t>
      </w:r>
      <w:r>
        <w:t xml:space="preserve"> </w:t>
      </w:r>
      <w:r>
        <w:t xml:space="preserve">All amounts in this</w:t>
      </w:r>
      <w:r>
        <w:t xml:space="preserve"> </w:t>
      </w:r>
      <w:r>
        <w:t xml:space="preserve">Quotation Estimate</w:t>
      </w:r>
      <w:r>
        <w:t xml:space="preserve"> </w:t>
      </w:r>
      <w:r>
        <w:t xml:space="preserve">are denominated in United States Dollars (USD) in accordance with the current healthcare pricing regulations applicable to private</w:t>
      </w:r>
      <w:r>
        <w:t xml:space="preserve"> </w:t>
      </w:r>
      <w:r>
        <w:t xml:space="preserve">Ophthalmologist</w:t>
      </w:r>
      <w:r>
        <w:t xml:space="preserve"> </w:t>
      </w:r>
      <w:r>
        <w:t xml:space="preserve">practices in</w:t>
      </w:r>
      <w:r>
        <w:t xml:space="preserve"> </w:t>
      </w:r>
      <w:r>
        <w:t xml:space="preserve">Venezuela Caracas</w:t>
      </w:r>
      <w:r>
        <w:t xml:space="preserve">.</w:t>
      </w:r>
    </w:p>
    <w:p>
      <w:pPr>
        <w:numPr>
          <w:ilvl w:val="0"/>
          <w:numId w:val="1001"/>
        </w:numPr>
        <w:pStyle w:val="Compact"/>
      </w:pPr>
      <w:r>
        <w:rPr>
          <w:bCs/>
          <w:b/>
        </w:rPr>
        <w:t xml:space="preserve">Scope:</w:t>
      </w:r>
      <w:r>
        <w:t xml:space="preserve"> </w:t>
      </w:r>
      <w:r>
        <w:t xml:space="preserve">This estimate covers only the services explicitly listed above. Any additional procedures identified by the</w:t>
      </w:r>
      <w:r>
        <w:t xml:space="preserve"> </w:t>
      </w:r>
      <w:r>
        <w:t xml:space="preserve">Ophthalmologist</w:t>
      </w:r>
      <w:r>
        <w:t xml:space="preserve"> </w:t>
      </w:r>
      <w:r>
        <w:t xml:space="preserve">during surgery or follow-up that were not anticipated will be subject to a separate, updated</w:t>
      </w:r>
      <w:r>
        <w:t xml:space="preserve"> </w:t>
      </w:r>
      <w:r>
        <w:t xml:space="preserve">Quotation Estimate</w:t>
      </w:r>
      <w:r>
        <w:t xml:space="preserve"> </w:t>
      </w:r>
      <w:r>
        <w:t xml:space="preserve">with prior patient consent.</w:t>
      </w:r>
    </w:p>
    <w:p>
      <w:pPr>
        <w:numPr>
          <w:ilvl w:val="0"/>
          <w:numId w:val="1001"/>
        </w:numPr>
        <w:pStyle w:val="Compact"/>
      </w:pPr>
      <w:r>
        <w:rPr>
          <w:bCs/>
          <w:b/>
        </w:rPr>
        <w:t xml:space="preserve">Facility Fees:</w:t>
      </w:r>
      <w:r>
        <w:t xml:space="preserve"> </w:t>
      </w:r>
      <w:r>
        <w:t xml:space="preserve">The surgical facility fee for the operating room in</w:t>
      </w:r>
      <w:r>
        <w:t xml:space="preserve"> </w:t>
      </w:r>
      <w:r>
        <w:t xml:space="preserve">Venezuela Caracas</w:t>
      </w:r>
      <w:r>
        <w:t xml:space="preserve"> </w:t>
      </w:r>
      <w:r>
        <w:t xml:space="preserve">is included in the phacoemulsification line item. No additional hospitalization charges are anticipated for this outpatient procedure.</w:t>
      </w:r>
    </w:p>
    <w:p>
      <w:pPr>
        <w:numPr>
          <w:ilvl w:val="0"/>
          <w:numId w:val="1001"/>
        </w:numPr>
        <w:pStyle w:val="Compact"/>
      </w:pPr>
      <w:r>
        <w:rPr>
          <w:bCs/>
          <w:b/>
        </w:rPr>
        <w:t xml:space="preserve">Confidentiality:</w:t>
      </w:r>
      <w:r>
        <w:t xml:space="preserve"> </w:t>
      </w:r>
      <w:r>
        <w:t xml:space="preserve">All patient information contained in this document is protected under Venezuelan medical confidentiality law (Ley de Salud) and the professional ethics code of the Colegio de Oftalmólogos de Venezuela.</w:t>
      </w:r>
    </w:p>
    <w:p>
      <w:pPr>
        <w:pStyle w:val="FirstParagraph"/>
      </w:pPr>
      <w:r>
        <w:t xml:space="preserve">6. Acceptance &amp; Authorization</w:t>
      </w:r>
    </w:p>
    <w:p>
      <w:pPr>
        <w:pStyle w:val="BodyText"/>
      </w:pPr>
      <w:r>
        <w:t xml:space="preserve">By signing below, the patient (or authorized legal representative) acknowledges receipt of this</w:t>
      </w:r>
      <w:r>
        <w:t xml:space="preserve"> </w:t>
      </w:r>
      <w:r>
        <w:t xml:space="preserve">Quotation Estimate</w:t>
      </w:r>
      <w:r>
        <w:t xml:space="preserve"> </w:t>
      </w:r>
      <w:r>
        <w:t xml:space="preserve">for</w:t>
      </w:r>
      <w:r>
        <w:t xml:space="preserve"> </w:t>
      </w:r>
      <w:r>
        <w:t xml:space="preserve">Ophthalmologist</w:t>
      </w:r>
      <w:r>
        <w:t xml:space="preserve"> </w:t>
      </w:r>
      <w:r>
        <w:t xml:space="preserve">services in</w:t>
      </w:r>
      <w:r>
        <w:t xml:space="preserve"> </w:t>
      </w:r>
      <w:r>
        <w:t xml:space="preserve">Venezuela Caracas</w:t>
      </w:r>
      <w:r>
        <w:t xml:space="preserve"> </w:t>
      </w:r>
      <w:r>
        <w:t xml:space="preserve">and authorizes the listed procedures. The attending</w:t>
      </w:r>
      <w:r>
        <w:t xml:space="preserve"> </w:t>
      </w:r>
      <w:r>
        <w:t xml:space="preserve">Ophthalmologist</w:t>
      </w:r>
      <w:r>
        <w:t xml:space="preserve"> </w:t>
      </w:r>
      <w:r>
        <w:t xml:space="preserve">confirms that all recommendations herein are based on a thorough clinical examination and represent the standard of care for the diagnosed conditions.</w:t>
      </w:r>
    </w:p>
    <w:p>
      <w:pPr>
        <w:pStyle w:val="BodyText"/>
      </w:pPr>
      <w:r>
        <w:rPr>
          <w:bCs/>
          <w:b/>
        </w:rPr>
        <w:t xml:space="preserve">Patient / Authorized Representative</w:t>
      </w:r>
      <w:r>
        <w:br/>
      </w: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Attending Ophthalmologist</w:t>
      </w:r>
      <w:r>
        <w:br/>
      </w:r>
      <w:r>
        <w:t xml:space="preserve">Dr. Alejandro R. Mendoza, M.D.</w:t>
      </w:r>
      <w:r>
        <w:br/>
      </w:r>
      <w:r>
        <w:t xml:space="preserve">R.M. No. 12.847 (Venezuela Caracas)</w:t>
      </w:r>
      <w:r>
        <w:br/>
      </w:r>
      <w:r>
        <w:t xml:space="preserve">Signature: ______________________________</w:t>
      </w:r>
      <w:r>
        <w:br/>
      </w:r>
      <w:r>
        <w:t xml:space="preserve">Date: ______________________________</w:t>
      </w:r>
    </w:p>
    <w:p>
      <w:pPr>
        <w:pStyle w:val="BodyText"/>
      </w:pPr>
      <w:r>
        <w:t xml:space="preserve">This Quotation Estimate document was generated by Centro Oftalmológico del Este, Venezuela Caracas. It is a financial projection and does not constitute a guarantee of medical outcomes. The Ophthalmologist's clinical judgment supersedes any estimate in the event of intraoperative findings. For questions regarding this Quotation Estimate, please contact our office at +58 (212) 555-0147,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Venezuela Caracas</dc:title>
  <dc:creator/>
  <dc:language>en</dc:language>
  <cp:keywords/>
  <dcterms:created xsi:type="dcterms:W3CDTF">2026-10-10T07:02:24Z</dcterms:created>
  <dcterms:modified xsi:type="dcterms:W3CDTF">2026-10-10T07:02:24Z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