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Optometrist</w:t>
      </w:r>
      <w:r>
        <w:t xml:space="preserve"> </w:t>
      </w:r>
      <w:r>
        <w:t xml:space="preserve">Services</w:t>
      </w:r>
      <w:r>
        <w:t xml:space="preserve"> </w:t>
      </w:r>
      <w:r>
        <w:t xml:space="preserve">-</w:t>
      </w:r>
      <w:r>
        <w:t xml:space="preserve"> </w:t>
      </w:r>
      <w:r>
        <w:t xml:space="preserve">Kenya</w:t>
      </w:r>
      <w:r>
        <w:t xml:space="preserve"> </w:t>
      </w:r>
      <w:r>
        <w:t xml:space="preserve">Nairobi</w:t>
      </w:r>
    </w:p>
    <w:bookmarkStart w:id="20" w:name="quotation-estimate"/>
    <w:p>
      <w:pPr>
        <w:pStyle w:val="Heading1"/>
      </w:pPr>
      <w:r>
        <w:t xml:space="preserve">Quotation Estimate</w:t>
      </w:r>
    </w:p>
    <w:p>
      <w:pPr>
        <w:pStyle w:val="FirstParagraph"/>
      </w:pPr>
      <w:r>
        <w:rPr>
          <w:bCs/>
          <w:b/>
        </w:rPr>
        <w:t xml:space="preserve">ClearSight Optometry Centre</w:t>
      </w:r>
    </w:p>
    <w:p>
      <w:pPr>
        <w:pStyle w:val="BodyText"/>
      </w:pPr>
      <w:r>
        <w:t xml:space="preserve">Optometrist Services &amp; Vision Care Solutions</w:t>
      </w:r>
    </w:p>
    <w:p>
      <w:pPr>
        <w:pStyle w:val="BodyText"/>
      </w:pPr>
      <w:r>
        <w:t xml:space="preserve">Waiyaki Way, Westlands Business District, Kenya Nairobi</w:t>
      </w:r>
    </w:p>
    <w:p>
      <w:pPr>
        <w:pStyle w:val="BodyText"/>
      </w:pPr>
      <w:r>
        <w:t xml:space="preserve">Tel: +254 712 345 678 | Email: info@clearsightnairobi.co.ke</w:t>
      </w:r>
    </w:p>
    <w:p>
      <w:pPr>
        <w:pStyle w:val="BodyText"/>
      </w:pPr>
      <w:r>
        <w:t xml:space="preserve">PHC License No. 2024/0871 | KMPDC Registered Practitioner</w:t>
      </w:r>
    </w:p>
    <w:bookmarkEnd w:id="20"/>
    <w:p>
      <w:pPr>
        <w:pStyle w:val="BodyText"/>
      </w:pPr>
      <w:r>
        <w:rPr>
          <w:bCs/>
          <w:b/>
        </w:rPr>
        <w:t xml:space="preserve">Quotation Estimate No.:</w:t>
      </w:r>
      <w:r>
        <w:t xml:space="preserve"> </w:t>
      </w:r>
      <w:r>
        <w:t xml:space="preserve">QTE-2025-0417</w:t>
      </w:r>
    </w:p>
    <w:p>
      <w:pPr>
        <w:pStyle w:val="BodyText"/>
      </w:pPr>
      <w:r>
        <w:rPr>
          <w:bCs/>
          <w:b/>
        </w:rPr>
        <w:t xml:space="preserve">Date Issued:</w:t>
      </w:r>
      <w:r>
        <w:t xml:space="preserve"> </w:t>
      </w:r>
      <w:r>
        <w:t xml:space="preserve">15th June 2025</w:t>
      </w:r>
    </w:p>
    <w:p>
      <w:pPr>
        <w:pStyle w:val="BodyText"/>
      </w:pPr>
      <w:r>
        <w:rPr>
          <w:bCs/>
          <w:b/>
        </w:rPr>
        <w:t xml:space="preserve">Valid Until:</w:t>
      </w:r>
      <w:r>
        <w:t xml:space="preserve"> </w:t>
      </w:r>
      <w:r>
        <w:t xml:space="preserve">15th July 2025</w:t>
      </w:r>
    </w:p>
    <w:p>
      <w:pPr>
        <w:pStyle w:val="BodyText"/>
      </w:pPr>
      <w:r>
        <w:rPr>
          <w:bCs/>
          <w:b/>
        </w:rPr>
        <w:t xml:space="preserve">Prepared For:</w:t>
      </w:r>
      <w:r>
        <w:t xml:space="preserve"> </w:t>
      </w:r>
      <w:r>
        <w:t xml:space="preserve">Mr. James Mwangi</w:t>
      </w:r>
    </w:p>
    <w:p>
      <w:pPr>
        <w:pStyle w:val="BodyText"/>
      </w:pPr>
      <w:r>
        <w:rPr>
          <w:bCs/>
          <w:b/>
        </w:rPr>
        <w:t xml:space="preserve">Company:</w:t>
      </w:r>
      <w:r>
        <w:t xml:space="preserve"> </w:t>
      </w:r>
      <w:r>
        <w:t xml:space="preserve">Safaricom PLC</w:t>
      </w:r>
    </w:p>
    <w:p>
      <w:pPr>
        <w:pStyle w:val="BodyText"/>
      </w:pPr>
      <w:r>
        <w:rPr>
          <w:bCs/>
          <w:b/>
        </w:rPr>
        <w:t xml:space="preserve">Address:</w:t>
      </w:r>
      <w:r>
        <w:t xml:space="preserve"> </w:t>
      </w:r>
      <w:r>
        <w:t xml:space="preserve">Safaricom House, Waiyaki Way, Kenya Nairobi</w:t>
      </w:r>
    </w:p>
    <w:p>
      <w:pPr>
        <w:pStyle w:val="BodyText"/>
      </w:pPr>
      <w:r>
        <w:rPr>
          <w:bCs/>
          <w:b/>
        </w:rPr>
        <w:t xml:space="preserve">Contact:</w:t>
      </w:r>
      <w:r>
        <w:t xml:space="preserve"> </w:t>
      </w:r>
      <w:r>
        <w:t xml:space="preserve">+254 733 123 456</w:t>
      </w:r>
    </w:p>
    <w:p>
      <w:pPr>
        <w:pStyle w:val="BodyText"/>
      </w:pPr>
      <w:r>
        <w:t xml:space="preserve">Dear Mr. Mwangi,</w:t>
      </w:r>
    </w:p>
    <w:p>
      <w:pPr>
        <w:pStyle w:val="BodyText"/>
      </w:pPr>
      <w:r>
        <w:t xml:space="preserve">Thank you for considering ClearSight Optometry Centre for your corporate eye care needs. This</w:t>
      </w:r>
      <w:r>
        <w:t xml:space="preserve"> </w:t>
      </w:r>
      <w:r>
        <w:rPr>
          <w:bCs/>
          <w:b/>
        </w:rPr>
        <w:t xml:space="preserve">Quotation Estimate</w:t>
      </w:r>
      <w:r>
        <w:t xml:space="preserve"> </w:t>
      </w:r>
      <w:r>
        <w:t xml:space="preserve">has been carefully prepared to outline the comprehensive</w:t>
      </w:r>
      <w:r>
        <w:t xml:space="preserve"> </w:t>
      </w:r>
      <w:r>
        <w:rPr>
          <w:bCs/>
          <w:b/>
        </w:rPr>
        <w:t xml:space="preserve">Optometrist</w:t>
      </w:r>
      <w:r>
        <w:t xml:space="preserve"> </w:t>
      </w:r>
      <w:r>
        <w:t xml:space="preserve">services we will provide to your staff at your Kenya Nairobi headquarters. As a licensed and fully accredited Optometrist practice operating in the heart of Kenya Nairobi, we are committed to delivering world-class vision care that meets the highest international standards while remaining accessible and affordable for all employees.</w:t>
      </w:r>
    </w:p>
    <w:p>
      <w:pPr>
        <w:pStyle w:val="BodyText"/>
      </w:pPr>
      <w:r>
        <w:t xml:space="preserve">Our team of certified Optometrists in Kenya Nairobi has over fifteen years of combined experience in comprehensive eye examinations, refractive error management, ocular disease screening, and visual rehabilitation. We understand the unique environmental factors affecting eye health in Kenya Nairobi, including high-altitude UV exposure, dust, and prolonged screen usage in corporate settings, and our services are tailored accordingly.</w:t>
      </w:r>
    </w:p>
    <w:p>
      <w:pPr>
        <w:pStyle w:val="BodyText"/>
      </w:pPr>
      <w:r>
        <w:t xml:space="preserve">Scope of Optometrist Services</w:t>
      </w:r>
    </w:p>
    <w:p>
      <w:pPr>
        <w:pStyle w:val="BodyText"/>
      </w:pPr>
      <w:r>
        <w:t xml:space="preserve">The following</w:t>
      </w:r>
      <w:r>
        <w:t xml:space="preserve"> </w:t>
      </w:r>
      <w:r>
        <w:rPr>
          <w:bCs/>
          <w:b/>
        </w:rPr>
        <w:t xml:space="preserve">Optometrist</w:t>
      </w:r>
      <w:r>
        <w:t xml:space="preserve"> </w:t>
      </w:r>
      <w:r>
        <w:t xml:space="preserve">services are included in this Quotation Estimate for a group of forty (40) employees at your Kenya Nairobi office. Each service is performed by a registered Optometrist or supervised by one in accordance with the Pharmacy and Poisons Control Board (PPCB) regulations governing optometric practice in Kenya.</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Service Description</w:t>
            </w:r>
          </w:p>
        </w:tc>
        <w:tc>
          <w:tcPr/>
          <w:p>
            <w:pPr>
              <w:pStyle w:val="Compact"/>
              <w:jc w:val="left"/>
            </w:pPr>
            <w:r>
              <w:t xml:space="preserve">Quantity</w:t>
            </w:r>
          </w:p>
        </w:tc>
        <w:tc>
          <w:tcPr/>
          <w:p>
            <w:pPr>
              <w:pStyle w:val="Compact"/>
              <w:jc w:val="left"/>
            </w:pPr>
            <w:r>
              <w:t xml:space="preserve">Unit Price (KES)</w:t>
            </w:r>
          </w:p>
        </w:tc>
        <w:tc>
          <w:tcPr/>
          <w:p>
            <w:pPr>
              <w:pStyle w:val="Compact"/>
              <w:jc w:val="left"/>
            </w:pPr>
            <w:r>
              <w:t xml:space="preserve">Subtotal (KES)</w:t>
            </w:r>
          </w:p>
        </w:tc>
        <w:tc>
          <w:tcPr/>
          <w:p>
            <w:pPr>
              <w:pStyle w:val="Compact"/>
              <w:jc w:val="left"/>
            </w:pPr>
            <w:r>
              <w:t xml:space="preserve">Duration</w:t>
            </w:r>
          </w:p>
        </w:tc>
      </w:tr>
      <w:tr>
        <w:tc>
          <w:tcPr/>
          <w:p>
            <w:pPr>
              <w:pStyle w:val="Compact"/>
              <w:jc w:val="left"/>
            </w:pPr>
            <w:r>
              <w:t xml:space="preserve">1</w:t>
            </w:r>
          </w:p>
        </w:tc>
        <w:tc>
          <w:tcPr/>
          <w:p>
            <w:pPr>
              <w:pStyle w:val="Compact"/>
              <w:jc w:val="left"/>
            </w:pPr>
            <w:r>
              <w:t xml:space="preserve">Comprehensive Optometrist Eye Examination (including visual acuity, refraction, tonometry, and slit-lamp biomicroscopy)</w:t>
            </w:r>
          </w:p>
        </w:tc>
        <w:tc>
          <w:tcPr/>
          <w:p>
            <w:pPr>
              <w:pStyle w:val="Compact"/>
              <w:jc w:val="left"/>
            </w:pPr>
            <w:r>
              <w:t xml:space="preserve">40</w:t>
            </w:r>
          </w:p>
        </w:tc>
        <w:tc>
          <w:tcPr/>
          <w:p>
            <w:pPr>
              <w:pStyle w:val="Compact"/>
              <w:jc w:val="left"/>
            </w:pPr>
            <w:r>
              <w:t xml:space="preserve">2,500</w:t>
            </w:r>
          </w:p>
        </w:tc>
        <w:tc>
          <w:tcPr/>
          <w:p>
            <w:pPr>
              <w:pStyle w:val="Compact"/>
              <w:jc w:val="left"/>
            </w:pPr>
            <w:r>
              <w:t xml:space="preserve">100,000</w:t>
            </w:r>
          </w:p>
        </w:tc>
        <w:tc>
          <w:tcPr/>
          <w:p>
            <w:pPr>
              <w:pStyle w:val="Compact"/>
              <w:jc w:val="left"/>
            </w:pPr>
            <w:r>
              <w:t xml:space="preserve">30 min each</w:t>
            </w:r>
          </w:p>
        </w:tc>
      </w:tr>
      <w:tr>
        <w:tc>
          <w:tcPr/>
          <w:p>
            <w:pPr>
              <w:pStyle w:val="Compact"/>
              <w:jc w:val="left"/>
            </w:pPr>
            <w:r>
              <w:t xml:space="preserve">2</w:t>
            </w:r>
          </w:p>
        </w:tc>
        <w:tc>
          <w:tcPr/>
          <w:p>
            <w:pPr>
              <w:pStyle w:val="Compact"/>
              <w:jc w:val="left"/>
            </w:pPr>
            <w:r>
              <w:t xml:space="preserve">Colour Vision Testing (Ishihara &amp; Farnsworth Panels)</w:t>
            </w:r>
          </w:p>
        </w:tc>
        <w:tc>
          <w:tcPr/>
          <w:p>
            <w:pPr>
              <w:pStyle w:val="Compact"/>
              <w:jc w:val="left"/>
            </w:pPr>
            <w:r>
              <w:t xml:space="preserve">40</w:t>
            </w:r>
          </w:p>
        </w:tc>
        <w:tc>
          <w:tcPr/>
          <w:p>
            <w:pPr>
              <w:pStyle w:val="Compact"/>
              <w:jc w:val="left"/>
            </w:pPr>
            <w:r>
              <w:t xml:space="preserve">800</w:t>
            </w:r>
          </w:p>
        </w:tc>
        <w:tc>
          <w:tcPr/>
          <w:p>
            <w:pPr>
              <w:pStyle w:val="Compact"/>
              <w:jc w:val="left"/>
            </w:pPr>
            <w:r>
              <w:t xml:space="preserve">32,000</w:t>
            </w:r>
          </w:p>
        </w:tc>
        <w:tc>
          <w:tcPr/>
          <w:p>
            <w:pPr>
              <w:pStyle w:val="Compact"/>
              <w:jc w:val="left"/>
            </w:pPr>
            <w:r>
              <w:t xml:space="preserve">10 min each</w:t>
            </w:r>
          </w:p>
        </w:tc>
      </w:tr>
      <w:tr>
        <w:tc>
          <w:tcPr/>
          <w:p>
            <w:pPr>
              <w:pStyle w:val="Compact"/>
              <w:jc w:val="left"/>
            </w:pPr>
            <w:r>
              <w:t xml:space="preserve">3</w:t>
            </w:r>
          </w:p>
        </w:tc>
        <w:tc>
          <w:tcPr/>
          <w:p>
            <w:pPr>
              <w:pStyle w:val="Compact"/>
              <w:jc w:val="left"/>
            </w:pPr>
            <w:r>
              <w:t xml:space="preserve">Binocular Vision &amp; Ocular Motility Assessment</w:t>
            </w:r>
          </w:p>
        </w:tc>
        <w:tc>
          <w:tcPr/>
          <w:p>
            <w:pPr>
              <w:pStyle w:val="Compact"/>
              <w:jc w:val="left"/>
            </w:pPr>
            <w:r>
              <w:t xml:space="preserve">40</w:t>
            </w:r>
          </w:p>
        </w:tc>
        <w:tc>
          <w:tcPr/>
          <w:p>
            <w:pPr>
              <w:pStyle w:val="Compact"/>
              <w:jc w:val="left"/>
            </w:pPr>
            <w:r>
              <w:t xml:space="preserve">1,200</w:t>
            </w:r>
          </w:p>
        </w:tc>
        <w:tc>
          <w:tcPr/>
          <w:p>
            <w:pPr>
              <w:pStyle w:val="Compact"/>
              <w:jc w:val="left"/>
            </w:pPr>
            <w:r>
              <w:t xml:space="preserve">48,000</w:t>
            </w:r>
          </w:p>
        </w:tc>
        <w:tc>
          <w:tcPr/>
          <w:p>
            <w:pPr>
              <w:pStyle w:val="Compact"/>
              <w:jc w:val="left"/>
            </w:pPr>
            <w:r>
              <w:t xml:space="preserve">15 min each</w:t>
            </w:r>
          </w:p>
        </w:tc>
      </w:tr>
      <w:tr>
        <w:tc>
          <w:tcPr/>
          <w:p>
            <w:pPr>
              <w:pStyle w:val="Compact"/>
              <w:jc w:val="left"/>
            </w:pPr>
            <w:r>
              <w:t xml:space="preserve">4</w:t>
            </w:r>
          </w:p>
        </w:tc>
        <w:tc>
          <w:tcPr/>
          <w:p>
            <w:pPr>
              <w:pStyle w:val="Compact"/>
              <w:jc w:val="left"/>
            </w:pPr>
            <w:r>
              <w:t xml:space="preserve">Retinal Screening with Direct &amp; Indirect Ophthalmoscopy</w:t>
            </w:r>
          </w:p>
        </w:tc>
        <w:tc>
          <w:tcPr/>
          <w:p>
            <w:pPr>
              <w:pStyle w:val="Compact"/>
              <w:jc w:val="left"/>
            </w:pPr>
            <w:r>
              <w:t xml:space="preserve">40</w:t>
            </w:r>
          </w:p>
        </w:tc>
        <w:tc>
          <w:tcPr/>
          <w:p>
            <w:pPr>
              <w:pStyle w:val="Compact"/>
              <w:jc w:val="left"/>
            </w:pPr>
            <w:r>
              <w:t xml:space="preserve">1,500</w:t>
            </w:r>
          </w:p>
        </w:tc>
        <w:tc>
          <w:tcPr/>
          <w:p>
            <w:pPr>
              <w:pStyle w:val="Compact"/>
              <w:jc w:val="left"/>
            </w:pPr>
            <w:r>
              <w:t xml:space="preserve">60,000</w:t>
            </w:r>
          </w:p>
        </w:tc>
        <w:tc>
          <w:tcPr/>
          <w:p>
            <w:pPr>
              <w:pStyle w:val="Compact"/>
              <w:jc w:val="left"/>
            </w:pPr>
            <w:r>
              <w:t xml:space="preserve">15 min each</w:t>
            </w:r>
          </w:p>
        </w:tc>
      </w:tr>
      <w:tr>
        <w:tc>
          <w:tcPr/>
          <w:p>
            <w:pPr>
              <w:pStyle w:val="Compact"/>
              <w:jc w:val="left"/>
            </w:pPr>
            <w:r>
              <w:t xml:space="preserve">5</w:t>
            </w:r>
          </w:p>
        </w:tc>
        <w:tc>
          <w:tcPr/>
          <w:p>
            <w:pPr>
              <w:pStyle w:val="Compact"/>
              <w:jc w:val="left"/>
            </w:pPr>
            <w:r>
              <w:t xml:space="preserve">Prescription of Spectacles (Single Vision Lenses, Standard Frame)</w:t>
            </w:r>
          </w:p>
        </w:tc>
        <w:tc>
          <w:tcPr/>
          <w:p>
            <w:pPr>
              <w:pStyle w:val="Compact"/>
              <w:jc w:val="left"/>
            </w:pPr>
            <w:r>
              <w:t xml:space="preserve">15</w:t>
            </w:r>
          </w:p>
        </w:tc>
        <w:tc>
          <w:tcPr/>
          <w:p>
            <w:pPr>
              <w:pStyle w:val="Compact"/>
              <w:jc w:val="left"/>
            </w:pPr>
            <w:r>
              <w:t xml:space="preserve">8,500</w:t>
            </w:r>
          </w:p>
        </w:tc>
        <w:tc>
          <w:tcPr/>
          <w:p>
            <w:pPr>
              <w:pStyle w:val="Compact"/>
              <w:jc w:val="left"/>
            </w:pPr>
            <w:r>
              <w:t xml:space="preserve">127,500</w:t>
            </w:r>
          </w:p>
        </w:tc>
        <w:tc>
          <w:tcPr/>
          <w:p>
            <w:pPr>
              <w:pStyle w:val="Compact"/>
              <w:jc w:val="left"/>
            </w:pPr>
            <w:r>
              <w:t xml:space="preserve">5-day turnaround</w:t>
            </w:r>
          </w:p>
        </w:tc>
      </w:tr>
      <w:tr>
        <w:tc>
          <w:tcPr/>
          <w:p>
            <w:pPr>
              <w:pStyle w:val="Compact"/>
              <w:jc w:val="left"/>
            </w:pPr>
            <w:r>
              <w:t xml:space="preserve">6</w:t>
            </w:r>
          </w:p>
        </w:tc>
        <w:tc>
          <w:tcPr/>
          <w:p>
            <w:pPr>
              <w:pStyle w:val="Compact"/>
              <w:jc w:val="left"/>
            </w:pPr>
            <w:r>
              <w:t xml:space="preserve">Prescription of Progressive Lenses (Premium Frame)</w:t>
            </w:r>
          </w:p>
        </w:tc>
        <w:tc>
          <w:tcPr/>
          <w:p>
            <w:pPr>
              <w:pStyle w:val="Compact"/>
              <w:jc w:val="left"/>
            </w:pPr>
            <w:r>
              <w:t xml:space="preserve">8</w:t>
            </w:r>
          </w:p>
        </w:tc>
        <w:tc>
          <w:tcPr/>
          <w:p>
            <w:pPr>
              <w:pStyle w:val="Compact"/>
              <w:jc w:val="left"/>
            </w:pPr>
            <w:r>
              <w:t xml:space="preserve">18,000</w:t>
            </w:r>
          </w:p>
        </w:tc>
        <w:tc>
          <w:tcPr/>
          <w:p>
            <w:pPr>
              <w:pStyle w:val="Compact"/>
              <w:jc w:val="left"/>
            </w:pPr>
            <w:r>
              <w:t xml:space="preserve">144,000</w:t>
            </w:r>
          </w:p>
        </w:tc>
        <w:tc>
          <w:tcPr/>
          <w:p>
            <w:pPr>
              <w:pStyle w:val="Compact"/>
              <w:jc w:val="left"/>
            </w:pPr>
            <w:r>
              <w:t xml:space="preserve">7-day turnaround</w:t>
            </w:r>
          </w:p>
        </w:tc>
      </w:tr>
      <w:tr>
        <w:tc>
          <w:tcPr/>
          <w:p>
            <w:pPr>
              <w:pStyle w:val="Compact"/>
              <w:jc w:val="left"/>
            </w:pPr>
            <w:r>
              <w:t xml:space="preserve">7</w:t>
            </w:r>
          </w:p>
        </w:tc>
        <w:tc>
          <w:tcPr/>
          <w:p>
            <w:pPr>
              <w:pStyle w:val="Compact"/>
              <w:jc w:val="left"/>
            </w:pPr>
            <w:r>
              <w:t xml:space="preserve">Occupational Eye Safety Assessment &amp; PPE Recommendation</w:t>
            </w:r>
          </w:p>
        </w:tc>
        <w:tc>
          <w:tcPr/>
          <w:p>
            <w:pPr>
              <w:pStyle w:val="Compact"/>
              <w:jc w:val="left"/>
            </w:pPr>
            <w:r>
              <w:t xml:space="preserve">40</w:t>
            </w:r>
          </w:p>
        </w:tc>
        <w:tc>
          <w:tcPr/>
          <w:p>
            <w:pPr>
              <w:pStyle w:val="Compact"/>
              <w:jc w:val="left"/>
            </w:pPr>
            <w:r>
              <w:t xml:space="preserve">600</w:t>
            </w:r>
          </w:p>
        </w:tc>
        <w:tc>
          <w:tcPr/>
          <w:p>
            <w:pPr>
              <w:pStyle w:val="Compact"/>
              <w:jc w:val="left"/>
            </w:pPr>
            <w:r>
              <w:t xml:space="preserve">24,000</w:t>
            </w:r>
          </w:p>
        </w:tc>
        <w:tc>
          <w:tcPr/>
          <w:p>
            <w:pPr>
              <w:pStyle w:val="Compact"/>
              <w:jc w:val="left"/>
            </w:pPr>
            <w:r>
              <w:t xml:space="preserve">10 min each</w:t>
            </w:r>
          </w:p>
        </w:tc>
      </w:tr>
      <w:tr>
        <w:tc>
          <w:tcPr/>
          <w:p>
            <w:pPr>
              <w:pStyle w:val="Compact"/>
              <w:jc w:val="left"/>
            </w:pPr>
            <w:r>
              <w:t xml:space="preserve">8</w:t>
            </w:r>
          </w:p>
        </w:tc>
        <w:tc>
          <w:tcPr/>
          <w:p>
            <w:pPr>
              <w:pStyle w:val="Compact"/>
              <w:jc w:val="left"/>
            </w:pPr>
            <w:r>
              <w:t xml:space="preserve">Follow-up Optometrist Consultation (within 30 days)</w:t>
            </w:r>
          </w:p>
        </w:tc>
        <w:tc>
          <w:tcPr/>
          <w:p>
            <w:pPr>
              <w:pStyle w:val="Compact"/>
              <w:jc w:val="left"/>
            </w:pPr>
            <w:r>
              <w:t xml:space="preserve">40</w:t>
            </w:r>
          </w:p>
        </w:tc>
        <w:tc>
          <w:tcPr/>
          <w:p>
            <w:pPr>
              <w:pStyle w:val="Compact"/>
              <w:jc w:val="left"/>
            </w:pPr>
            <w:r>
              <w:t xml:space="preserve">1,000</w:t>
            </w:r>
          </w:p>
        </w:tc>
        <w:tc>
          <w:tcPr/>
          <w:p>
            <w:pPr>
              <w:pStyle w:val="Compact"/>
              <w:jc w:val="left"/>
            </w:pPr>
            <w:r>
              <w:t xml:space="preserve">40,000</w:t>
            </w:r>
          </w:p>
        </w:tc>
        <w:tc>
          <w:tcPr/>
          <w:p>
            <w:pPr>
              <w:pStyle w:val="Compact"/>
              <w:jc w:val="left"/>
            </w:pPr>
            <w:r>
              <w:t xml:space="preserve">20 min each</w:t>
            </w:r>
          </w:p>
        </w:tc>
      </w:tr>
      <w:tr>
        <w:tc>
          <w:tcPr/>
          <w:p>
            <w:pPr>
              <w:pStyle w:val="Compact"/>
              <w:jc w:val="left"/>
            </w:pPr>
            <w:r>
              <w:t xml:space="preserve">9</w:t>
            </w:r>
          </w:p>
        </w:tc>
        <w:tc>
          <w:tcPr/>
          <w:p>
            <w:pPr>
              <w:pStyle w:val="Compact"/>
              <w:jc w:val="left"/>
            </w:pPr>
            <w:r>
              <w:t xml:space="preserve">Written Optometrist Report &amp; Corporate Health Summary</w:t>
            </w:r>
          </w:p>
        </w:tc>
        <w:tc>
          <w:tcPr/>
          <w:p>
            <w:pPr>
              <w:pStyle w:val="Compact"/>
              <w:jc w:val="left"/>
            </w:pPr>
            <w:r>
              <w:t xml:space="preserve">1</w:t>
            </w:r>
          </w:p>
        </w:tc>
        <w:tc>
          <w:tcPr/>
          <w:p>
            <w:pPr>
              <w:pStyle w:val="Compact"/>
              <w:jc w:val="left"/>
            </w:pPr>
            <w:r>
              <w:t xml:space="preserve">15,000</w:t>
            </w:r>
          </w:p>
        </w:tc>
        <w:tc>
          <w:tcPr/>
          <w:p>
            <w:pPr>
              <w:pStyle w:val="Compact"/>
              <w:jc w:val="left"/>
            </w:pPr>
            <w:r>
              <w:t xml:space="preserve">15,000</w:t>
            </w:r>
          </w:p>
        </w:tc>
        <w:tc>
          <w:tcPr/>
          <w:p>
            <w:pPr>
              <w:pStyle w:val="Compact"/>
              <w:jc w:val="left"/>
            </w:pPr>
            <w:r>
              <w:t xml:space="preserve">5 working days</w:t>
            </w:r>
          </w:p>
        </w:tc>
      </w:tr>
      <w:tr>
        <w:tc>
          <w:tcPr/>
          <w:p>
            <w:pPr>
              <w:pStyle w:val="Compact"/>
              <w:jc w:val="left"/>
            </w:pPr>
            <w:r>
              <w:t xml:space="preserve">10</w:t>
            </w:r>
          </w:p>
        </w:tc>
        <w:tc>
          <w:tcPr/>
          <w:p>
            <w:pPr>
              <w:pStyle w:val="Compact"/>
              <w:jc w:val="left"/>
            </w:pPr>
            <w:r>
              <w:t xml:space="preserve">On-site Setup, Equipment Transport &amp; Logistics (Kenya Nairobi)</w:t>
            </w:r>
          </w:p>
        </w:tc>
        <w:tc>
          <w:tcPr/>
          <w:p>
            <w:pPr>
              <w:pStyle w:val="Compact"/>
              <w:jc w:val="left"/>
            </w:pPr>
            <w:r>
              <w:t xml:space="preserve">1</w:t>
            </w:r>
          </w:p>
        </w:tc>
        <w:tc>
          <w:tcPr/>
          <w:p>
            <w:pPr>
              <w:pStyle w:val="Compact"/>
              <w:jc w:val="left"/>
            </w:pPr>
            <w:r>
              <w:t xml:space="preserve">25,000</w:t>
            </w:r>
          </w:p>
        </w:tc>
        <w:tc>
          <w:tcPr/>
          <w:p>
            <w:pPr>
              <w:pStyle w:val="Compact"/>
              <w:jc w:val="left"/>
            </w:pPr>
            <w:r>
              <w:t xml:space="preserve">25,000</w:t>
            </w:r>
          </w:p>
        </w:tc>
        <w:tc>
          <w:tcPr/>
          <w:p>
            <w:pPr>
              <w:pStyle w:val="Compact"/>
              <w:jc w:val="left"/>
            </w:pPr>
            <w:r>
              <w:t xml:space="preserve">2 days</w:t>
            </w:r>
          </w:p>
        </w:tc>
      </w:tr>
    </w:tbl>
    <w:p/>
    <w:tbl>
      <w:tblPr>
        <w:tblStyle w:val="Table"/>
        <w:tblW w:type="auto" w:w="0"/>
        <w:tblLook w:firstRow="0" w:lastRow="0" w:firstColumn="0" w:lastColumn="0" w:noHBand="0" w:noVBand="0" w:val="0000"/>
      </w:tblPr>
      <w:tblGrid>
        <w:gridCol w:w="1320"/>
        <w:gridCol w:w="1320"/>
        <w:gridCol w:w="1320"/>
        <w:gridCol w:w="1320"/>
        <w:gridCol w:w="1320"/>
        <w:gridCol w:w="1320"/>
      </w:tblGrid>
      <w:tr>
        <w:tc>
          <w:tcPr>
            <w:gridSpan w:val="4"/>
          </w:tcPr>
          <w:p>
            <w:pPr>
              <w:pStyle w:val="Compact"/>
              <w:jc w:val="left"/>
            </w:pPr>
            <w:r>
              <w:rPr>
                <w:bCs/>
                <w:b/>
              </w:rPr>
              <w:t xml:space="preserve">Subtotal</w:t>
            </w:r>
          </w:p>
        </w:tc>
        <w:tc>
          <w:tcPr>
            <w:gridSpan w:val="2"/>
          </w:tcPr>
          <w:p>
            <w:pPr>
              <w:pStyle w:val="Compact"/>
              <w:jc w:val="left"/>
            </w:pPr>
            <w:r>
              <w:rPr>
                <w:bCs/>
                <w:b/>
              </w:rPr>
              <w:t xml:space="preserve">KES 631,500</w:t>
            </w:r>
          </w:p>
        </w:tc>
      </w:tr>
      <w:tr>
        <w:tc>
          <w:tcPr>
            <w:gridSpan w:val="4"/>
          </w:tcPr>
          <w:p>
            <w:pPr>
              <w:pStyle w:val="Compact"/>
              <w:jc w:val="left"/>
            </w:pPr>
            <w:r>
              <w:t xml:space="preserve">VAT (16%)</w:t>
            </w:r>
          </w:p>
        </w:tc>
        <w:tc>
          <w:tcPr>
            <w:gridSpan w:val="2"/>
          </w:tcPr>
          <w:p>
            <w:pPr>
              <w:pStyle w:val="Compact"/>
              <w:jc w:val="left"/>
            </w:pPr>
            <w:r>
              <w:t xml:space="preserve">KES 101,040</w:t>
            </w:r>
          </w:p>
        </w:tc>
      </w:tr>
      <w:tr>
        <w:tc>
          <w:tcPr>
            <w:gridSpan w:val="4"/>
          </w:tcPr>
          <w:p>
            <w:pPr>
              <w:pStyle w:val="Compact"/>
              <w:jc w:val="left"/>
            </w:pPr>
            <w:r>
              <w:rPr>
                <w:bCs/>
                <w:b/>
              </w:rPr>
              <w:t xml:space="preserve">TOTAL AMOUNT DUE</w:t>
            </w:r>
          </w:p>
        </w:tc>
        <w:tc>
          <w:tcPr>
            <w:gridSpan w:val="2"/>
          </w:tcPr>
          <w:p>
            <w:pPr>
              <w:pStyle w:val="Compact"/>
              <w:jc w:val="left"/>
            </w:pPr>
            <w:r>
              <w:rPr>
                <w:bCs/>
                <w:b/>
              </w:rPr>
              <w:t xml:space="preserve">KES 732,540</w:t>
            </w:r>
          </w:p>
        </w:tc>
      </w:tr>
    </w:tbl>
    <w:p>
      <w:pPr>
        <w:pStyle w:val="BodyText"/>
      </w:pPr>
      <w:r>
        <w:t xml:space="preserve">Payment Terms</w:t>
      </w:r>
    </w:p>
    <w:p>
      <w:pPr>
        <w:pStyle w:val="BodyText"/>
      </w:pPr>
      <w:r>
        <w:t xml:space="preserve">This Quotation Estimate is valid for thirty (30) calendar days from the date of issue. Payment shall be made within fourteen (14) days of invoice issuance via bank transfer to our MCB Bank account (Account No. 0123-4567-8901, Branch: Westlands, Kenya Nairobi). A fifty percent (50%) advance payment is required to confirm the booking and mobilise our Optometrist team. The remaining balance shall be settled upon completion of all services and delivery of the final written report.</w:t>
      </w:r>
    </w:p>
    <w:p>
      <w:pPr>
        <w:pStyle w:val="BodyText"/>
      </w:pPr>
      <w:r>
        <w:t xml:space="preserve">Terms and Conditions</w:t>
      </w:r>
    </w:p>
    <w:p>
      <w:pPr>
        <w:numPr>
          <w:ilvl w:val="0"/>
          <w:numId w:val="1001"/>
        </w:numPr>
        <w:pStyle w:val="Compact"/>
      </w:pPr>
      <w:r>
        <w:t xml:space="preserve">All Optometrist services will be conducted in strict compliance with the Pharmacy and Poisons Control Board (PPCB) of Kenya and the Kenya Medical Practitioners and Dentists Council (KMPDC) guidelines.</w:t>
      </w:r>
    </w:p>
    <w:p>
      <w:pPr>
        <w:numPr>
          <w:ilvl w:val="0"/>
          <w:numId w:val="1001"/>
        </w:numPr>
        <w:pStyle w:val="Compact"/>
      </w:pPr>
      <w:r>
        <w:t xml:space="preserve">ClearSight Optometry Centre holds full professional indemnity insurance covering all Optometrist procedures performed in Kenya Nairobi.</w:t>
      </w:r>
    </w:p>
    <w:p>
      <w:pPr>
        <w:numPr>
          <w:ilvl w:val="0"/>
          <w:numId w:val="1001"/>
        </w:numPr>
        <w:pStyle w:val="Compact"/>
      </w:pPr>
      <w:r>
        <w:t xml:space="preserve">Spectacle frames and lenses are sourced from certified suppliers in Kenya Nairobi and come with a six-month manufacturer warranty against defects.</w:t>
      </w:r>
    </w:p>
    <w:p>
      <w:pPr>
        <w:numPr>
          <w:ilvl w:val="0"/>
          <w:numId w:val="1001"/>
        </w:numPr>
        <w:pStyle w:val="Compact"/>
      </w:pPr>
      <w:r>
        <w:t xml:space="preserve">Any additional services required beyond the scope outlined in this Quotation Estimate will be quoted separately and require written approval prior to execution.</w:t>
      </w:r>
    </w:p>
    <w:p>
      <w:pPr>
        <w:numPr>
          <w:ilvl w:val="0"/>
          <w:numId w:val="1001"/>
        </w:numPr>
        <w:pStyle w:val="Compact"/>
      </w:pPr>
      <w:r>
        <w:t xml:space="preserve">Confidentiality of all employee eye health records is guaranteed in accordance with the Data Protection Act, 2019 of Kenya.</w:t>
      </w:r>
    </w:p>
    <w:p>
      <w:pPr>
        <w:numPr>
          <w:ilvl w:val="0"/>
          <w:numId w:val="1001"/>
        </w:numPr>
        <w:pStyle w:val="Compact"/>
      </w:pPr>
      <w:r>
        <w:t xml:space="preserve">Scheduling of the on-site Optometrist examination will be coordinated with your HR department at least five (5) working days in advance.</w:t>
      </w:r>
    </w:p>
    <w:p>
      <w:pPr>
        <w:numPr>
          <w:ilvl w:val="0"/>
          <w:numId w:val="1001"/>
        </w:numPr>
        <w:pStyle w:val="Compact"/>
      </w:pPr>
      <w:r>
        <w:t xml:space="preserve">This Quotation Estimate does not constitute a binding contract until countersigned by both parties and the advance payment is received.</w:t>
      </w:r>
    </w:p>
    <w:p>
      <w:pPr>
        <w:numPr>
          <w:ilvl w:val="0"/>
          <w:numId w:val="1001"/>
        </w:numPr>
        <w:pStyle w:val="Compact"/>
      </w:pPr>
      <w:r>
        <w:t xml:space="preserve">Any disputes arising from this engagement shall be resolved through mediation in Kenya Nairobi in accordance with Kenyan law.</w:t>
      </w:r>
    </w:p>
    <w:p>
      <w:pPr>
        <w:pStyle w:val="FirstParagraph"/>
      </w:pPr>
      <w:r>
        <w:t xml:space="preserve">Acceptance</w:t>
      </w:r>
    </w:p>
    <w:p>
      <w:pPr>
        <w:pStyle w:val="BodyText"/>
      </w:pPr>
      <w:r>
        <w:t xml:space="preserve">By signing below, the client acknowledges receipt of this Quotation Estimate and agrees to the terms and conditions outlined above for the Optometrist services to be delivered in Kenya Nairobi.</w:t>
      </w:r>
    </w:p>
    <w:p>
      <w:pPr>
        <w:pStyle w:val="BodyText"/>
      </w:pPr>
      <w:r>
        <w:rPr>
          <w:bCs/>
          <w:b/>
        </w:rPr>
        <w:t xml:space="preserve">For: ClearSight Optometry Centre</w:t>
      </w:r>
      <w:r>
        <w:br/>
      </w:r>
      <w:r>
        <w:t xml:space="preserve">Dr. Amina Otieno, Optometrist (Reg. No. PPCB/2019/0442)</w:t>
      </w:r>
      <w:r>
        <w:br/>
      </w:r>
      <w:r>
        <w:t xml:space="preserve">Date: ______________________</w:t>
      </w:r>
    </w:p>
    <w:p>
      <w:pPr>
        <w:pStyle w:val="BodyText"/>
      </w:pPr>
      <w:r>
        <w:rPr>
          <w:bCs/>
          <w:b/>
        </w:rPr>
        <w:t xml:space="preserve">For: Safaricom PLC (Client)</w:t>
      </w:r>
      <w:r>
        <w:br/>
      </w:r>
      <w:r>
        <w:t xml:space="preserve">Mr. James Mwangi, HR Manager</w:t>
      </w:r>
      <w:r>
        <w:br/>
      </w:r>
      <w:r>
        <w:t xml:space="preserve">Date: ______________________</w:t>
      </w:r>
    </w:p>
    <w:p>
      <w:pPr>
        <w:pStyle w:val="BodyText"/>
      </w:pPr>
      <w:r>
        <w:t xml:space="preserve">ClearSight Optometry Centre | Waiyaki Way, Westlands, Kenya Nairobi | P.O. Box 4521-00100, Nairobi</w:t>
      </w:r>
    </w:p>
    <w:p>
      <w:pPr>
        <w:pStyle w:val="BodyText"/>
      </w:pPr>
      <w:r>
        <w:t xml:space="preserve">This Quotation Estimate was generated on 15th June 2025 | Document Ref: QTE-2025-0417 | Page 1 of 1</w:t>
      </w:r>
    </w:p>
    <w:p>
      <w:pPr>
        <w:pStyle w:val="BodyText"/>
      </w:pPr>
      <w:r>
        <w:t xml:space="preserve">All prices are quoted in Kenyan Shillings (KES) and are inclusive of all applicable taxes unless otherwise stated.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Optometrist Services - Kenya Nairobi</dc:title>
  <dc:creator/>
  <dc:language>en</dc:language>
  <cp:keywords/>
  <dcterms:created xsi:type="dcterms:W3CDTF">2026-10-10T06:41:11Z</dcterms:created>
  <dcterms:modified xsi:type="dcterms:W3CDTF">2026-10-10T06:41:11Z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