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Optometrist Services &amp; Vision Care</w:t>
      </w:r>
    </w:p>
    <w:p>
      <w:pPr>
        <w:pStyle w:val="BodyText"/>
      </w:pPr>
      <w:r>
        <w:t xml:space="preserve">Kuala Lumpur, Malaysia</w:t>
      </w:r>
    </w:p>
    <w:bookmarkEnd w:id="20"/>
    <w:p>
      <w:pPr>
        <w:pStyle w:val="BodyText"/>
      </w:pPr>
      <w:r>
        <w:rPr>
          <w:bCs/>
          <w:b/>
        </w:rPr>
        <w:t xml:space="preserve">Quotation No.:</w:t>
      </w:r>
      <w:r>
        <w:t xml:space="preserve"> </w:t>
      </w:r>
      <w:r>
        <w:t xml:space="preserve">KL-OPH-2025-0487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Aisyah Rahman, O.D.</w:t>
      </w:r>
      <w:r>
        <w:br/>
      </w:r>
      <w:r>
        <w:rPr>
          <w:bCs/>
          <w:b/>
        </w:rPr>
        <w:t xml:space="preserve">Clinic:</w:t>
      </w:r>
      <w:r>
        <w:t xml:space="preserve"> </w:t>
      </w:r>
      <w:r>
        <w:t xml:space="preserve">VisionCare Optometry Centre</w:t>
      </w:r>
      <w:r>
        <w:br/>
      </w:r>
      <w:r>
        <w:rPr>
          <w:bCs/>
          <w:b/>
        </w:rPr>
        <w:t xml:space="preserve">Address:</w:t>
      </w:r>
      <w:r>
        <w:t xml:space="preserve"> </w:t>
      </w:r>
      <w:r>
        <w:t xml:space="preserve">Level 3, Menara Sentral, Jalan Ampang,</w:t>
      </w:r>
      <w:r>
        <w:br/>
      </w:r>
      <w:r>
        <w:t xml:space="preserve">50450 Kuala Lumpur, Malaysia</w:t>
      </w:r>
    </w:p>
    <w:p>
      <w:pPr>
        <w:pStyle w:val="BodyText"/>
      </w:pPr>
      <w:r>
        <w:t xml:space="preserve">1. Client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Tan Wei Ming</w:t>
            </w:r>
          </w:p>
        </w:tc>
      </w:tr>
      <w:tr>
        <w:tc>
          <w:tcPr/>
          <w:p>
            <w:pPr>
              <w:pStyle w:val="Compact"/>
              <w:jc w:val="left"/>
            </w:pPr>
            <w:r>
              <w:t xml:space="preserve">Company / Organisation</w:t>
            </w:r>
          </w:p>
        </w:tc>
        <w:tc>
          <w:tcPr/>
          <w:p>
            <w:pPr>
              <w:pStyle w:val="Compact"/>
              <w:jc w:val="left"/>
            </w:pPr>
            <w:r>
              <w:t xml:space="preserve">Meridian Corporate Solutions Sdn. Bhd.</w:t>
            </w:r>
          </w:p>
        </w:tc>
      </w:tr>
      <w:tr>
        <w:tc>
          <w:tcPr/>
          <w:p>
            <w:pPr>
              <w:pStyle w:val="Compact"/>
              <w:jc w:val="left"/>
            </w:pPr>
            <w:r>
              <w:t xml:space="preserve">Address</w:t>
            </w:r>
          </w:p>
        </w:tc>
        <w:tc>
          <w:tcPr/>
          <w:p>
            <w:pPr>
              <w:pStyle w:val="Compact"/>
              <w:jc w:val="left"/>
            </w:pPr>
            <w:r>
              <w:t xml:space="preserve">12, Jalan Sultan Ismail, 50250 Kuala Lumpur, Malaysia</w:t>
            </w:r>
          </w:p>
        </w:tc>
      </w:tr>
      <w:tr>
        <w:tc>
          <w:tcPr/>
          <w:p>
            <w:pPr>
              <w:pStyle w:val="Compact"/>
              <w:jc w:val="left"/>
            </w:pPr>
            <w:r>
              <w:t xml:space="preserve">Contact Number</w:t>
            </w:r>
          </w:p>
        </w:tc>
        <w:tc>
          <w:tcPr/>
          <w:p>
            <w:pPr>
              <w:pStyle w:val="Compact"/>
              <w:jc w:val="left"/>
            </w:pPr>
            <w:r>
              <w:t xml:space="preserve">+60 3-2145 6789</w:t>
            </w:r>
          </w:p>
        </w:tc>
      </w:tr>
      <w:tr>
        <w:tc>
          <w:tcPr/>
          <w:p>
            <w:pPr>
              <w:pStyle w:val="Compact"/>
              <w:jc w:val="left"/>
            </w:pPr>
            <w:r>
              <w:t xml:space="preserve">Email</w:t>
            </w:r>
          </w:p>
        </w:tc>
        <w:tc>
          <w:tcPr/>
          <w:p>
            <w:pPr>
              <w:pStyle w:val="Compact"/>
              <w:jc w:val="left"/>
            </w:pPr>
            <w:r>
              <w:t xml:space="preserve">procurement@meridiancorp.com.my</w:t>
            </w:r>
          </w:p>
        </w:tc>
      </w:tr>
      <w:tr>
        <w:tc>
          <w:tcPr/>
          <w:p>
            <w:pPr>
              <w:pStyle w:val="Compact"/>
              <w:jc w:val="left"/>
            </w:pPr>
            <w:r>
              <w:t xml:space="preserve">Registration No. (SSM)</w:t>
            </w:r>
          </w:p>
        </w:tc>
        <w:tc>
          <w:tcPr/>
          <w:p>
            <w:pPr>
              <w:pStyle w:val="Compact"/>
              <w:jc w:val="left"/>
            </w:pPr>
            <w:r>
              <w:t xml:space="preserve">201901045678 (1234567-A)</w:t>
            </w:r>
          </w:p>
        </w:tc>
      </w:tr>
    </w:tbl>
    <w:p>
      <w:pPr>
        <w:pStyle w:val="BodyText"/>
      </w:pPr>
      <w:r>
        <w:t xml:space="preserve">2. Scope of Optometrist Services</w:t>
      </w:r>
    </w:p>
    <w:p>
      <w:pPr>
        <w:pStyle w:val="BodyText"/>
      </w:pPr>
      <w:r>
        <w:t xml:space="preserve">This Quotation Estimate is issued by VisionCare Optometry Centre, a licensed and registered Optometrist practice operating in Malaysia Kuala Lumpur, to provide comprehensive eye examination and vision correction services for the above-named client. The following services are included in this estimate as part of a corporate wellness vision package for up to 50 employees of Meridian Corporate Solutions Sdn. Bhd.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t xml:space="preserve">Comprehensive Optometrist Eye Examination (including visual acuity, refraction, colour vision, and binocular function assessment)</w:t>
            </w:r>
          </w:p>
        </w:tc>
        <w:tc>
          <w:tcPr/>
          <w:p>
            <w:pPr>
              <w:pStyle w:val="Compact"/>
              <w:jc w:val="left"/>
            </w:pPr>
            <w:r>
              <w:t xml:space="preserve">50 pax</w:t>
            </w:r>
          </w:p>
        </w:tc>
        <w:tc>
          <w:tcPr/>
          <w:p>
            <w:pPr>
              <w:pStyle w:val="Compact"/>
              <w:jc w:val="left"/>
            </w:pPr>
            <w:r>
              <w:t xml:space="preserve">RM 180.00</w:t>
            </w:r>
          </w:p>
        </w:tc>
        <w:tc>
          <w:tcPr/>
          <w:p>
            <w:pPr>
              <w:pStyle w:val="Compact"/>
              <w:jc w:val="left"/>
            </w:pPr>
            <w:r>
              <w:t xml:space="preserve">RM 9,000.00</w:t>
            </w:r>
          </w:p>
        </w:tc>
      </w:tr>
      <w:tr>
        <w:tc>
          <w:tcPr/>
          <w:p>
            <w:pPr>
              <w:pStyle w:val="Compact"/>
              <w:jc w:val="left"/>
            </w:pPr>
            <w:r>
              <w:t xml:space="preserve">2</w:t>
            </w:r>
          </w:p>
        </w:tc>
        <w:tc>
          <w:tcPr/>
          <w:p>
            <w:pPr>
              <w:pStyle w:val="Compact"/>
              <w:jc w:val="left"/>
            </w:pPr>
            <w:r>
              <w:t xml:space="preserve">Dilated Fundus Examination with Digital Retinal Imaging (performed by a senior Optometrist)</w:t>
            </w:r>
          </w:p>
        </w:tc>
        <w:tc>
          <w:tcPr/>
          <w:p>
            <w:pPr>
              <w:pStyle w:val="Compact"/>
              <w:jc w:val="left"/>
            </w:pPr>
            <w:r>
              <w:t xml:space="preserve">50 pax</w:t>
            </w:r>
          </w:p>
        </w:tc>
        <w:tc>
          <w:tcPr/>
          <w:p>
            <w:pPr>
              <w:pStyle w:val="Compact"/>
              <w:jc w:val="left"/>
            </w:pPr>
            <w:r>
              <w:t xml:space="preserve">RM 120.00</w:t>
            </w:r>
          </w:p>
        </w:tc>
        <w:tc>
          <w:tcPr/>
          <w:p>
            <w:pPr>
              <w:pStyle w:val="Compact"/>
              <w:jc w:val="left"/>
            </w:pPr>
            <w:r>
              <w:t xml:space="preserve">RM 6,000.00</w:t>
            </w:r>
          </w:p>
        </w:tc>
      </w:tr>
      <w:tr>
        <w:tc>
          <w:tcPr/>
          <w:p>
            <w:pPr>
              <w:pStyle w:val="Compact"/>
              <w:jc w:val="left"/>
            </w:pPr>
            <w:r>
              <w:t xml:space="preserve">3</w:t>
            </w:r>
          </w:p>
        </w:tc>
        <w:tc>
          <w:tcPr/>
          <w:p>
            <w:pPr>
              <w:pStyle w:val="Compact"/>
              <w:jc w:val="left"/>
            </w:pPr>
            <w:r>
              <w:t xml:space="preserve">Corneal Topography &amp; Pachymetry (for contact lens fitting assessment)</w:t>
            </w:r>
          </w:p>
        </w:tc>
        <w:tc>
          <w:tcPr/>
          <w:p>
            <w:pPr>
              <w:pStyle w:val="Compact"/>
              <w:jc w:val="left"/>
            </w:pPr>
            <w:r>
              <w:t xml:space="preserve">20 pax</w:t>
            </w:r>
          </w:p>
        </w:tc>
        <w:tc>
          <w:tcPr/>
          <w:p>
            <w:pPr>
              <w:pStyle w:val="Compact"/>
              <w:jc w:val="left"/>
            </w:pPr>
            <w:r>
              <w:t xml:space="preserve">RM 250.00</w:t>
            </w:r>
          </w:p>
        </w:tc>
        <w:tc>
          <w:tcPr/>
          <w:p>
            <w:pPr>
              <w:pStyle w:val="Compact"/>
              <w:jc w:val="left"/>
            </w:pPr>
            <w:r>
              <w:t xml:space="preserve">RM 5,000.00</w:t>
            </w:r>
          </w:p>
        </w:tc>
      </w:tr>
      <w:tr>
        <w:tc>
          <w:tcPr/>
          <w:p>
            <w:pPr>
              <w:pStyle w:val="Compact"/>
              <w:jc w:val="left"/>
            </w:pPr>
            <w:r>
              <w:t xml:space="preserve">4</w:t>
            </w:r>
          </w:p>
        </w:tc>
        <w:tc>
          <w:tcPr/>
          <w:p>
            <w:pPr>
              <w:pStyle w:val="Compact"/>
              <w:jc w:val="left"/>
            </w:pPr>
            <w:r>
              <w:t xml:space="preserve">Prescription Spectacle Lenses (1.60 Index, Anti-Reflective Coating, Blue Light Filter) – per pair</w:t>
            </w:r>
          </w:p>
        </w:tc>
        <w:tc>
          <w:tcPr/>
          <w:p>
            <w:pPr>
              <w:pStyle w:val="Compact"/>
              <w:jc w:val="left"/>
            </w:pPr>
            <w:r>
              <w:t xml:space="preserve">35 pairs</w:t>
            </w:r>
          </w:p>
        </w:tc>
        <w:tc>
          <w:tcPr/>
          <w:p>
            <w:pPr>
              <w:pStyle w:val="Compact"/>
              <w:jc w:val="left"/>
            </w:pPr>
            <w:r>
              <w:t xml:space="preserve">RM 450.00</w:t>
            </w:r>
          </w:p>
        </w:tc>
        <w:tc>
          <w:tcPr/>
          <w:p>
            <w:pPr>
              <w:pStyle w:val="Compact"/>
              <w:jc w:val="left"/>
            </w:pPr>
            <w:r>
              <w:t xml:space="preserve">RM 15,750.00</w:t>
            </w:r>
          </w:p>
        </w:tc>
      </w:tr>
      <w:tr>
        <w:tc>
          <w:tcPr/>
          <w:p>
            <w:pPr>
              <w:pStyle w:val="Compact"/>
              <w:jc w:val="left"/>
            </w:pPr>
            <w:r>
              <w:t xml:space="preserve">5</w:t>
            </w:r>
          </w:p>
        </w:tc>
        <w:tc>
          <w:tcPr/>
          <w:p>
            <w:pPr>
              <w:pStyle w:val="Compact"/>
              <w:jc w:val="left"/>
            </w:pPr>
            <w:r>
              <w:t xml:space="preserve">Prescription Spectacle Frames (selected from in-house collection, Malaysia Kuala Lumpur exclusive range)</w:t>
            </w:r>
          </w:p>
        </w:tc>
        <w:tc>
          <w:tcPr/>
          <w:p>
            <w:pPr>
              <w:pStyle w:val="Compact"/>
              <w:jc w:val="left"/>
            </w:pPr>
            <w:r>
              <w:t xml:space="preserve">35 pairs</w:t>
            </w:r>
          </w:p>
        </w:tc>
        <w:tc>
          <w:tcPr/>
          <w:p>
            <w:pPr>
              <w:pStyle w:val="Compact"/>
              <w:jc w:val="left"/>
            </w:pPr>
            <w:r>
              <w:t xml:space="preserve">RM 300.00</w:t>
            </w:r>
          </w:p>
        </w:tc>
        <w:tc>
          <w:tcPr/>
          <w:p>
            <w:pPr>
              <w:pStyle w:val="Compact"/>
              <w:jc w:val="left"/>
            </w:pPr>
            <w:r>
              <w:t xml:space="preserve">RM 10,500.00</w:t>
            </w:r>
          </w:p>
        </w:tc>
      </w:tr>
      <w:tr>
        <w:tc>
          <w:tcPr/>
          <w:p>
            <w:pPr>
              <w:pStyle w:val="Compact"/>
              <w:jc w:val="left"/>
            </w:pPr>
            <w:r>
              <w:t xml:space="preserve">6</w:t>
            </w:r>
          </w:p>
        </w:tc>
        <w:tc>
          <w:tcPr/>
          <w:p>
            <w:pPr>
              <w:pStyle w:val="Compact"/>
              <w:jc w:val="left"/>
            </w:pPr>
            <w:r>
              <w:t xml:space="preserve">Soft Contact Lens Fitting &amp; Trial (including 3-month follow-up by the Optometrist)</w:t>
            </w:r>
          </w:p>
        </w:tc>
        <w:tc>
          <w:tcPr/>
          <w:p>
            <w:pPr>
              <w:pStyle w:val="Compact"/>
              <w:jc w:val="left"/>
            </w:pPr>
            <w:r>
              <w:t xml:space="preserve">15 pax</w:t>
            </w:r>
          </w:p>
        </w:tc>
        <w:tc>
          <w:tcPr/>
          <w:p>
            <w:pPr>
              <w:pStyle w:val="Compact"/>
              <w:jc w:val="left"/>
            </w:pPr>
            <w:r>
              <w:t xml:space="preserve">RM 350.00</w:t>
            </w:r>
          </w:p>
        </w:tc>
        <w:tc>
          <w:tcPr/>
          <w:p>
            <w:pPr>
              <w:pStyle w:val="Compact"/>
              <w:jc w:val="left"/>
            </w:pPr>
            <w:r>
              <w:t xml:space="preserve">RM 5,250.00</w:t>
            </w:r>
          </w:p>
        </w:tc>
      </w:tr>
      <w:tr>
        <w:tc>
          <w:tcPr/>
          <w:p>
            <w:pPr>
              <w:pStyle w:val="Compact"/>
              <w:jc w:val="left"/>
            </w:pPr>
            <w:r>
              <w:t xml:space="preserve">7</w:t>
            </w:r>
          </w:p>
        </w:tc>
        <w:tc>
          <w:tcPr/>
          <w:p>
            <w:pPr>
              <w:pStyle w:val="Compact"/>
              <w:jc w:val="left"/>
            </w:pPr>
            <w:r>
              <w:t xml:space="preserve">Occupational Vision Assessment Report (for workplace safety compliance, Malaysia Kuala Lumpur OSHA guidelines)</w:t>
            </w:r>
          </w:p>
        </w:tc>
        <w:tc>
          <w:tcPr/>
          <w:p>
            <w:pPr>
              <w:pStyle w:val="Compact"/>
              <w:jc w:val="left"/>
            </w:pPr>
            <w:r>
              <w:t xml:space="preserve">50 reports</w:t>
            </w:r>
          </w:p>
        </w:tc>
        <w:tc>
          <w:tcPr/>
          <w:p>
            <w:pPr>
              <w:pStyle w:val="Compact"/>
              <w:jc w:val="left"/>
            </w:pPr>
            <w:r>
              <w:t xml:space="preserve">RM 80.00</w:t>
            </w:r>
          </w:p>
        </w:tc>
        <w:tc>
          <w:tcPr/>
          <w:p>
            <w:pPr>
              <w:pStyle w:val="Compact"/>
              <w:jc w:val="left"/>
            </w:pPr>
            <w:r>
              <w:t xml:space="preserve">RM 4,000.00</w:t>
            </w:r>
          </w:p>
        </w:tc>
      </w:tr>
      <w:tr>
        <w:tc>
          <w:tcPr/>
          <w:p>
            <w:pPr>
              <w:pStyle w:val="Compact"/>
              <w:jc w:val="left"/>
            </w:pPr>
            <w:r>
              <w:t xml:space="preserve">8</w:t>
            </w:r>
          </w:p>
        </w:tc>
        <w:tc>
          <w:tcPr/>
          <w:p>
            <w:pPr>
              <w:pStyle w:val="Compact"/>
              <w:jc w:val="left"/>
            </w:pPr>
            <w:r>
              <w:t xml:space="preserve">On-site Mobile Optometrist Unit (travel, equipment setup, and logistics within Kuala Lumpur city limits)</w:t>
            </w:r>
          </w:p>
        </w:tc>
        <w:tc>
          <w:tcPr/>
          <w:p>
            <w:pPr>
              <w:pStyle w:val="Compact"/>
              <w:jc w:val="left"/>
            </w:pPr>
            <w:r>
              <w:t xml:space="preserve">2 days</w:t>
            </w:r>
          </w:p>
        </w:tc>
        <w:tc>
          <w:tcPr/>
          <w:p>
            <w:pPr>
              <w:pStyle w:val="Compact"/>
              <w:jc w:val="left"/>
            </w:pPr>
            <w:r>
              <w:t xml:space="preserve">RM 1,500.00</w:t>
            </w:r>
          </w:p>
        </w:tc>
        <w:tc>
          <w:tcPr/>
          <w:p>
            <w:pPr>
              <w:pStyle w:val="Compact"/>
              <w:jc w:val="left"/>
            </w:pPr>
            <w:r>
              <w:t xml:space="preserve">RM 3,000.00</w:t>
            </w:r>
          </w:p>
        </w:tc>
      </w:tr>
      <w:tr>
        <w:tc>
          <w:tcPr>
            <w:gridSpan w:val="4"/>
          </w:tcPr>
          <w:p>
            <w:pPr>
              <w:pStyle w:val="Compact"/>
              <w:jc w:val="right"/>
            </w:pPr>
            <w:r>
              <w:t xml:space="preserve">Subtotal</w:t>
            </w:r>
          </w:p>
        </w:tc>
        <w:tc>
          <w:tcPr/>
          <w:p>
            <w:pPr>
              <w:pStyle w:val="Compact"/>
              <w:jc w:val="left"/>
            </w:pPr>
            <w:r>
              <w:t xml:space="preserve">RM 58,500.00</w:t>
            </w:r>
          </w:p>
        </w:tc>
      </w:tr>
      <w:tr>
        <w:tc>
          <w:tcPr>
            <w:gridSpan w:val="4"/>
          </w:tcPr>
          <w:p>
            <w:pPr>
              <w:pStyle w:val="Compact"/>
              <w:jc w:val="right"/>
            </w:pPr>
            <w:r>
              <w:t xml:space="preserve">Sales &amp; Service Tax (SST) @ 6%</w:t>
            </w:r>
          </w:p>
        </w:tc>
        <w:tc>
          <w:tcPr/>
          <w:p>
            <w:pPr>
              <w:pStyle w:val="Compact"/>
              <w:jc w:val="left"/>
            </w:pPr>
            <w:r>
              <w:t xml:space="preserve">RM 3,510.00</w:t>
            </w:r>
          </w:p>
        </w:tc>
      </w:tr>
      <w:tr>
        <w:tc>
          <w:tcPr>
            <w:gridSpan w:val="4"/>
          </w:tcPr>
          <w:p>
            <w:pPr>
              <w:pStyle w:val="Compact"/>
              <w:jc w:val="right"/>
            </w:pPr>
            <w:r>
              <w:t xml:space="preserve">GRAND TOTAL (MYR)</w:t>
            </w:r>
          </w:p>
        </w:tc>
        <w:tc>
          <w:tcPr/>
          <w:p>
            <w:pPr>
              <w:pStyle w:val="Compact"/>
              <w:jc w:val="left"/>
            </w:pPr>
            <w:r>
              <w:t xml:space="preserve">RM 62,010.00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revision upon expiry without prior notice.</w:t>
      </w:r>
    </w:p>
    <w:p>
      <w:pPr>
        <w:numPr>
          <w:ilvl w:val="0"/>
          <w:numId w:val="1001"/>
        </w:numPr>
        <w:pStyle w:val="Compact"/>
      </w:pPr>
      <w:r>
        <w:rPr>
          <w:bCs/>
          <w:b/>
        </w:rPr>
        <w:t xml:space="preserve">Payment Terms:</w:t>
      </w:r>
      <w:r>
        <w:t xml:space="preserve"> </w:t>
      </w:r>
      <w:r>
        <w:t xml:space="preserve">A 50% deposit is required upon acceptance of this Quotation Estimate. The remaining 50% balance is payable within fourteen (14) days of service completion. Payment shall be made via bank transfer to VisionCare Optometry Centre, Maybank Account No. 5123-4567-8901, Kuala Lumpur, Malaysia.</w:t>
      </w:r>
    </w:p>
    <w:p>
      <w:pPr>
        <w:numPr>
          <w:ilvl w:val="0"/>
          <w:numId w:val="1001"/>
        </w:numPr>
        <w:pStyle w:val="Compact"/>
      </w:pPr>
      <w:r>
        <w:rPr>
          <w:bCs/>
          <w:b/>
        </w:rPr>
        <w:t xml:space="preserve">Scheduling:</w:t>
      </w:r>
      <w:r>
        <w:t xml:space="preserve"> </w:t>
      </w:r>
      <w:r>
        <w:t xml:space="preserve">The on-site Optometrist services will be conducted at the client's premises in Kuala Lumpur. A minimum of seven (7) working days' notice is required to confirm the service date.</w:t>
      </w:r>
    </w:p>
    <w:p>
      <w:pPr>
        <w:numPr>
          <w:ilvl w:val="0"/>
          <w:numId w:val="1001"/>
        </w:numPr>
        <w:pStyle w:val="Compact"/>
      </w:pPr>
      <w:r>
        <w:rPr>
          <w:bCs/>
          <w:b/>
        </w:rPr>
        <w:t xml:space="preserve">Warranty:</w:t>
      </w:r>
      <w:r>
        <w:t xml:space="preserve"> </w:t>
      </w:r>
      <w:r>
        <w:t xml:space="preserve">All prescription spectacle lenses carry a six-month warranty against manufacturing defects. Frames carry a twelve-month warranty. Contact lens fittings include a free re-fit within three months if the initial prescription requires adjustment by the Optometrist.</w:t>
      </w:r>
    </w:p>
    <w:p>
      <w:pPr>
        <w:numPr>
          <w:ilvl w:val="0"/>
          <w:numId w:val="1001"/>
        </w:numPr>
        <w:pStyle w:val="Compact"/>
      </w:pPr>
      <w:r>
        <w:rPr>
          <w:bCs/>
          <w:b/>
        </w:rPr>
        <w:t xml:space="preserve">Confidentiality:</w:t>
      </w:r>
      <w:r>
        <w:t xml:space="preserve"> </w:t>
      </w:r>
      <w:r>
        <w:t xml:space="preserve">All patient records, examination results, and prescription data collected during the Optometrist services shall be treated as strictly confidential in accordance with the Personal Data Protection Act 2010 (PDPA) of Malaysia.</w:t>
      </w:r>
    </w:p>
    <w:p>
      <w:pPr>
        <w:numPr>
          <w:ilvl w:val="0"/>
          <w:numId w:val="1001"/>
        </w:numPr>
        <w:pStyle w:val="Compact"/>
      </w:pPr>
      <w:r>
        <w:rPr>
          <w:bCs/>
          <w:b/>
        </w:rPr>
        <w:t xml:space="preserve">Cancellation:</w:t>
      </w:r>
      <w:r>
        <w:t xml:space="preserve"> </w:t>
      </w:r>
      <w:r>
        <w:t xml:space="preserve">Cancellation of scheduled services more than five (5) working days in advance will incur no penalty. Cancellations within five (5) working days will be subject to a 25% cancellation fee on the total Quotation Estimate value.</w:t>
      </w:r>
    </w:p>
    <w:p>
      <w:pPr>
        <w:numPr>
          <w:ilvl w:val="0"/>
          <w:numId w:val="1001"/>
        </w:numPr>
        <w:pStyle w:val="Compact"/>
      </w:pPr>
      <w:r>
        <w:rPr>
          <w:bCs/>
          <w:b/>
        </w:rPr>
        <w:t xml:space="preserve">Licence &amp; Compliance:</w:t>
      </w:r>
      <w:r>
        <w:t xml:space="preserve"> </w:t>
      </w:r>
      <w:r>
        <w:t xml:space="preserve">VisionCare Optometry Centre holds a valid licence from the Malaysian Optical Dispensing Practitioners Board (MODPB) and operates in full compliance with all regulatory requirements for Optometrist practices in Malaysia Kuala Lumpur.</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Kuala Lumpur, Malaysia, in accordance with the laws of Malaysia.</w:t>
      </w:r>
    </w:p>
    <w:p>
      <w:pPr>
        <w:pStyle w:val="FirstParagraph"/>
      </w:pPr>
      <w:r>
        <w:rPr>
          <w:bCs/>
          <w:b/>
        </w:rPr>
        <w:t xml:space="preserve">Note:</w:t>
      </w:r>
      <w:r>
        <w:t xml:space="preserve"> </w:t>
      </w:r>
      <w:r>
        <w:t xml:space="preserve">This Quotation Estimate does not constitute a binding contract until formally accepted in writing by both parties. The Optometrist services described herein are subject to the availability of the clinical team and equipment. In the event of unforeseen circumstances (e.g., public health advisories in Malaysia Kuala Lumpur), service dates may be rescheduled at no additional cost.</w:t>
      </w:r>
    </w:p>
    <w:p>
      <w:pPr>
        <w:pStyle w:val="BodyText"/>
      </w:pPr>
      <w:r>
        <w:t xml:space="preserve">4. Acceptance &amp; Authorisation</w:t>
      </w:r>
    </w:p>
    <w:p>
      <w:pPr>
        <w:pStyle w:val="BodyText"/>
      </w:pPr>
      <w:r>
        <w:t xml:space="preserve">By signing below, the client acknowledges and accepts the terms, conditions, and pricing outlined in this Quotation Estimate for Optometrist services to be delivered in Malaysia Kuala Lumpur.</w:t>
      </w:r>
    </w:p>
    <w:p>
      <w:pPr>
        <w:pStyle w:val="BodyText"/>
      </w:pPr>
      <w:r>
        <w:rPr>
          <w:bCs/>
          <w:b/>
        </w:rPr>
        <w:t xml:space="preserve">For and on behalf of:</w:t>
      </w:r>
      <w:r>
        <w:br/>
      </w:r>
      <w:r>
        <w:t xml:space="preserve">VisionCare Optometry Centre</w:t>
      </w:r>
      <w:r>
        <w:br/>
      </w:r>
      <w:r>
        <w:t xml:space="preserve">(Optometrist Provider)</w:t>
      </w:r>
      <w:r>
        <w:br/>
      </w:r>
      <w:r>
        <w:br/>
      </w:r>
      <w:r>
        <w:t xml:space="preserve">Name: Dr. Aisyah Rahman, O.D.</w:t>
      </w:r>
      <w:r>
        <w:br/>
      </w:r>
      <w:r>
        <w:t xml:space="preserve">Designation: Lead Optometrist &amp; Director</w:t>
      </w:r>
      <w:r>
        <w:br/>
      </w:r>
      <w:r>
        <w:t xml:space="preserve">Date: _______________</w:t>
      </w:r>
    </w:p>
    <w:p>
      <w:pPr>
        <w:pStyle w:val="BodyText"/>
      </w:pPr>
      <w:r>
        <w:rPr>
          <w:bCs/>
          <w:b/>
        </w:rPr>
        <w:t xml:space="preserve">For and on behalf of:</w:t>
      </w:r>
      <w:r>
        <w:br/>
      </w:r>
      <w:r>
        <w:t xml:space="preserve">Meridian Corporate Solutions Sdn. Bhd.</w:t>
      </w:r>
      <w:r>
        <w:br/>
      </w:r>
      <w:r>
        <w:t xml:space="preserve">(Client / Recipient)</w:t>
      </w:r>
      <w:r>
        <w:br/>
      </w:r>
      <w:r>
        <w:br/>
      </w:r>
      <w:r>
        <w:t xml:space="preserve">Name: _________________________</w:t>
      </w:r>
      <w:r>
        <w:br/>
      </w:r>
      <w:r>
        <w:t xml:space="preserve">Designation: _________________________</w:t>
      </w:r>
      <w:r>
        <w:br/>
      </w:r>
      <w:r>
        <w:t xml:space="preserve">Date: _______________</w:t>
      </w:r>
    </w:p>
    <w:p>
      <w:pPr>
        <w:pStyle w:val="BodyText"/>
      </w:pPr>
      <w:r>
        <w:t xml:space="preserve">VisionCare Optometry Centre | Level 3, Menara Sentral, Jalan Ampang, 50450 Kuala Lumpur, Malaysia</w:t>
      </w:r>
      <w:r>
        <w:br/>
      </w:r>
      <w:r>
        <w:t xml:space="preserve">Tel: +60 3-4021 8899 | Email: enquiries@visioncareoptometry.com.my | Website: www.visioncareoptometry.com.my</w:t>
      </w:r>
      <w:r>
        <w:br/>
      </w:r>
      <w:r>
        <w:t xml:space="preserve">Registered with the Malaysian Optical Dispensing Practitioners Board (MODPB) | SST Reg. No: 001234567890</w:t>
      </w:r>
      <w:r>
        <w:br/>
      </w:r>
      <w:r>
        <w:t xml:space="preserve">This Quotation Estimate was prepared for Optometrist services in Malaysia Kuala Lumpur. All prices are in Malaysian Ringgit (MYR).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Malaysia Kuala Lumpur</dc:title>
  <dc:creator/>
  <dc:language>en</dc:language>
  <cp:keywords/>
  <dcterms:created xsi:type="dcterms:W3CDTF">2026-10-10T09:53:07Z</dcterms:created>
  <dcterms:modified xsi:type="dcterms:W3CDTF">2026-10-10T09:53:07Z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