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quotation-estimate"/>
    <w:p>
      <w:pPr>
        <w:pStyle w:val="Heading1"/>
      </w:pPr>
      <w:r>
        <w:t xml:space="preserve">QUOTATION ESTIMATE</w:t>
      </w:r>
    </w:p>
    <w:p>
      <w:pPr>
        <w:pStyle w:val="FirstParagraph"/>
      </w:pPr>
      <w:r>
        <w:t xml:space="preserve">Orthodontist Services — Egypt Alexandria</w:t>
      </w:r>
    </w:p>
    <w:p>
      <w:pPr>
        <w:pStyle w:val="BodyText"/>
      </w:pPr>
      <w:r>
        <w:t xml:space="preserve">Alexandria Dental &amp; Orthodontic Center</w:t>
      </w:r>
      <w:r>
        <w:br/>
      </w:r>
      <w:r>
        <w:t xml:space="preserve">42 Corniche El-Nil Street, Smouha District, Alexandria, Egypt</w:t>
      </w:r>
      <w:r>
        <w:br/>
      </w:r>
      <w:r>
        <w:t xml:space="preserve">Tel: +20 3 482 5567 | Email: info@alexorthodontics.eg</w:t>
      </w:r>
      <w:r>
        <w:br/>
      </w:r>
      <w:r>
        <w:t xml:space="preserve">License No: ALC-2019-0482 | Ministry of Health — Alexandria Governorate</w:t>
      </w:r>
    </w:p>
    <w:bookmarkEnd w:id="20"/>
    <w:p>
      <w:pPr>
        <w:pStyle w:val="BodyText"/>
      </w:pPr>
      <w:r>
        <w:rPr>
          <w:bCs/>
          <w:b/>
        </w:rPr>
        <w:t xml:space="preserve">Quotation Estimate No.:</w:t>
      </w:r>
      <w:r>
        <w:t xml:space="preserve"> </w:t>
      </w:r>
      <w:r>
        <w:t xml:space="preserve">QE-2025-0734</w:t>
      </w:r>
      <w:r>
        <w:br/>
      </w:r>
      <w:r>
        <w:rPr>
          <w:bCs/>
          <w:b/>
        </w:rPr>
        <w:t xml:space="preserve">Date of Issue:</w:t>
      </w:r>
      <w:r>
        <w:t xml:space="preserve"> </w:t>
      </w:r>
      <w:r>
        <w:t xml:space="preserve">14 June 2025</w:t>
      </w:r>
      <w:r>
        <w:br/>
      </w:r>
      <w:r>
        <w:rPr>
          <w:bCs/>
          <w:b/>
        </w:rPr>
        <w:t xml:space="preserve">Valid Until:</w:t>
      </w:r>
      <w:r>
        <w:t xml:space="preserve"> </w:t>
      </w:r>
      <w:r>
        <w:t xml:space="preserve">14 July 2025 (30 days)</w:t>
      </w:r>
    </w:p>
    <w:p>
      <w:pPr>
        <w:pStyle w:val="BodyText"/>
      </w:pPr>
      <w:r>
        <w:rPr>
          <w:bCs/>
          <w:b/>
        </w:rPr>
        <w:t xml:space="preserve">Prepared For:</w:t>
      </w:r>
      <w:r>
        <w:br/>
      </w:r>
      <w:r>
        <w:t xml:space="preserve">Mr. Ahmed Hassan El-Sayed</w:t>
      </w:r>
      <w:r>
        <w:br/>
      </w:r>
      <w:r>
        <w:t xml:space="preserve">18 El-Mahrousa Road, Dokki</w:t>
      </w:r>
      <w:r>
        <w:br/>
      </w:r>
      <w:r>
        <w:t xml:space="preserve">Alexandria, Egypt</w:t>
      </w:r>
      <w:r>
        <w:br/>
      </w:r>
      <w:r>
        <w:t xml:space="preserve">Phone: +20 100 555 8821</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has been prepared by our licensed</w:t>
      </w:r>
      <w:r>
        <w:t xml:space="preserve"> </w:t>
      </w:r>
      <w:r>
        <w:t xml:space="preserve">Orthodontist</w:t>
      </w:r>
      <w:r>
        <w:t xml:space="preserve"> </w:t>
      </w:r>
      <w:r>
        <w:t xml:space="preserve">team at the Alexandria Dental &amp; Orthodontic Center to provide Mr. Ahmed Hassan El-Sayed with a comprehensive, itemized breakdown of the anticipated costs for a full orthodontic treatment plan. As a recognized</w:t>
      </w:r>
      <w:r>
        <w:t xml:space="preserve"> </w:t>
      </w:r>
      <w:r>
        <w:t xml:space="preserve">Orthodontist</w:t>
      </w:r>
      <w:r>
        <w:t xml:space="preserve"> </w:t>
      </w:r>
      <w:r>
        <w:t xml:space="preserve">practice operating in</w:t>
      </w:r>
      <w:r>
        <w:t xml:space="preserve"> </w:t>
      </w:r>
      <w:r>
        <w:t xml:space="preserve">Egypt Alexandria</w:t>
      </w:r>
      <w:r>
        <w:t xml:space="preserve">, we are committed to transparent pricing, high-quality clinical care, and full compliance with the regulations set forth by the Egyptian Ministry of Health and the Alexandria Governorate Health Directorate. This document serves as a formal</w:t>
      </w:r>
      <w:r>
        <w:t xml:space="preserve"> </w:t>
      </w:r>
      <w:r>
        <w:t xml:space="preserve">Quotation Estimate</w:t>
      </w:r>
      <w:r>
        <w:t xml:space="preserve"> </w:t>
      </w:r>
      <w:r>
        <w:t xml:space="preserve">and does not constitute a binding contract until both parties have signed and accepted the terms outlined herein.</w:t>
      </w:r>
    </w:p>
    <w:p>
      <w:pPr>
        <w:pStyle w:val="BodyText"/>
      </w:pPr>
      <w:r>
        <w:t xml:space="preserve">2. Clinical Assessment Summary</w:t>
      </w:r>
    </w:p>
    <w:p>
      <w:pPr>
        <w:pStyle w:val="BodyText"/>
      </w:pPr>
      <w:r>
        <w:t xml:space="preserve">Following a comprehensive initial consultation conducted on 10 June 2025 by Dr. Mona Fathy, Lead</w:t>
      </w:r>
      <w:r>
        <w:t xml:space="preserve"> </w:t>
      </w:r>
      <w:r>
        <w:t xml:space="preserve">Orthodontist</w:t>
      </w:r>
      <w:r>
        <w:t xml:space="preserve"> </w:t>
      </w:r>
      <w:r>
        <w:t xml:space="preserve">(MD, MSc in Orthodontics, Faculty of Dentistry, Alexandria University), the patient was diagnosed with Class II malocclusion with moderate crowding in the upper and lower arches, a 4 mm overjet, and a mild crossbite on the left posterior segment. The recommended treatment protocol involves a combination of fixed orthodontic appliances and adjunctive procedures. All diagnostics, including panoramic radiographs (OPG), cephalometric analysis, intraoral impressions, and digital 3D scans, have been completed and are on file at our</w:t>
      </w:r>
      <w:r>
        <w:t xml:space="preserve"> </w:t>
      </w:r>
      <w:r>
        <w:t xml:space="preserve">Egypt Alexandria</w:t>
      </w:r>
      <w:r>
        <w:t xml:space="preserve"> </w:t>
      </w:r>
      <w:r>
        <w:t xml:space="preserve">clinic.</w:t>
      </w:r>
    </w:p>
    <w:p>
      <w:pPr>
        <w:pStyle w:val="BodyText"/>
      </w:pPr>
      <w:r>
        <w:t xml:space="preserve">3. Itemized Quotation Estimate — Treatment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Procedure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Initial Consultation &amp; Diagnostic Workup</w:t>
            </w:r>
          </w:p>
        </w:tc>
        <w:tc>
          <w:tcPr/>
          <w:p>
            <w:pPr>
              <w:pStyle w:val="Compact"/>
              <w:jc w:val="left"/>
            </w:pPr>
            <w:r>
              <w:t xml:space="preserve">Includes OPG, lateral ceph, intraoral photos, digital 3D scan, and treatment planning by the Orthodontist</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2</w:t>
            </w:r>
          </w:p>
        </w:tc>
        <w:tc>
          <w:tcPr/>
          <w:p>
            <w:pPr>
              <w:pStyle w:val="Compact"/>
              <w:jc w:val="left"/>
            </w:pPr>
            <w:r>
              <w:t xml:space="preserve">Extraction of Premolars (Upper &amp; Lower)</w:t>
            </w:r>
          </w:p>
        </w:tc>
        <w:tc>
          <w:tcPr/>
          <w:p>
            <w:pPr>
              <w:pStyle w:val="Compact"/>
              <w:jc w:val="left"/>
            </w:pPr>
            <w:r>
              <w:t xml:space="preserve">Surgical removal of 4 premolars under local anesthesia, including post-operative care and follow-up</w:t>
            </w:r>
          </w:p>
        </w:tc>
        <w:tc>
          <w:tcPr/>
          <w:p>
            <w:pPr>
              <w:pStyle w:val="Compact"/>
              <w:jc w:val="left"/>
            </w:pPr>
            <w:r>
              <w:t xml:space="preserve">4</w:t>
            </w:r>
          </w:p>
        </w:tc>
        <w:tc>
          <w:tcPr/>
          <w:p>
            <w:pPr>
              <w:pStyle w:val="Compact"/>
              <w:jc w:val="left"/>
            </w:pPr>
            <w:r>
              <w:t xml:space="preserve">1,800</w:t>
            </w:r>
          </w:p>
        </w:tc>
        <w:tc>
          <w:tcPr/>
          <w:p>
            <w:pPr>
              <w:pStyle w:val="Compact"/>
              <w:jc w:val="left"/>
            </w:pPr>
            <w:r>
              <w:t xml:space="preserve">7,200</w:t>
            </w:r>
          </w:p>
        </w:tc>
      </w:tr>
      <w:tr>
        <w:tc>
          <w:tcPr/>
          <w:p>
            <w:pPr>
              <w:pStyle w:val="Compact"/>
              <w:jc w:val="left"/>
            </w:pPr>
            <w:r>
              <w:t xml:space="preserve">3</w:t>
            </w:r>
          </w:p>
        </w:tc>
        <w:tc>
          <w:tcPr/>
          <w:p>
            <w:pPr>
              <w:pStyle w:val="Compact"/>
              <w:jc w:val="left"/>
            </w:pPr>
            <w:r>
              <w:t xml:space="preserve">Fixed Orthodontic Braces (Metal)</w:t>
            </w:r>
          </w:p>
        </w:tc>
        <w:tc>
          <w:tcPr/>
          <w:p>
            <w:pPr>
              <w:pStyle w:val="Compact"/>
              <w:jc w:val="left"/>
            </w:pPr>
            <w:r>
              <w:t xml:space="preserve">Full-arch metal brackets and archwires (upper and lower), bonded by the Orthodontist, including all monthly adjustments</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4</w:t>
            </w:r>
          </w:p>
        </w:tc>
        <w:tc>
          <w:tcPr/>
          <w:p>
            <w:pPr>
              <w:pStyle w:val="Compact"/>
              <w:jc w:val="left"/>
            </w:pPr>
            <w:r>
              <w:t xml:space="preserve">Monthly Orthodontic Adjustments</w:t>
            </w:r>
          </w:p>
        </w:tc>
        <w:tc>
          <w:tcPr/>
          <w:p>
            <w:pPr>
              <w:pStyle w:val="Compact"/>
              <w:jc w:val="left"/>
            </w:pPr>
            <w:r>
              <w:t xml:space="preserve">Approximately 18 monthly visits for wire changes, elastic changes, and progress monitoring by the Orthodontist in Egypt Alexandria</w:t>
            </w:r>
          </w:p>
        </w:tc>
        <w:tc>
          <w:tcPr/>
          <w:p>
            <w:pPr>
              <w:pStyle w:val="Compact"/>
              <w:jc w:val="left"/>
            </w:pPr>
            <w:r>
              <w:t xml:space="preserve">18</w:t>
            </w:r>
          </w:p>
        </w:tc>
        <w:tc>
          <w:tcPr/>
          <w:p>
            <w:pPr>
              <w:pStyle w:val="Compact"/>
              <w:jc w:val="left"/>
            </w:pPr>
            <w:r>
              <w:t xml:space="preserve">800</w:t>
            </w:r>
          </w:p>
        </w:tc>
        <w:tc>
          <w:tcPr/>
          <w:p>
            <w:pPr>
              <w:pStyle w:val="Compact"/>
              <w:jc w:val="left"/>
            </w:pPr>
            <w:r>
              <w:t xml:space="preserve">14,400</w:t>
            </w:r>
          </w:p>
        </w:tc>
      </w:tr>
      <w:tr>
        <w:tc>
          <w:tcPr/>
          <w:p>
            <w:pPr>
              <w:pStyle w:val="Compact"/>
              <w:jc w:val="left"/>
            </w:pPr>
            <w:r>
              <w:t xml:space="preserve">5</w:t>
            </w:r>
          </w:p>
        </w:tc>
        <w:tc>
          <w:tcPr/>
          <w:p>
            <w:pPr>
              <w:pStyle w:val="Compact"/>
              <w:jc w:val="left"/>
            </w:pPr>
            <w:r>
              <w:t xml:space="preserve">Removable Retainers (Upper &amp; Lower)</w:t>
            </w:r>
          </w:p>
        </w:tc>
        <w:tc>
          <w:tcPr/>
          <w:p>
            <w:pPr>
              <w:pStyle w:val="Compact"/>
              <w:jc w:val="left"/>
            </w:pPr>
            <w:r>
              <w:t xml:space="preserve">Hawley-type retainers fabricated in our Alexandria laboratory, including 2 sets for replacement</w:t>
            </w:r>
          </w:p>
        </w:tc>
        <w:tc>
          <w:tcPr/>
          <w:p>
            <w:pPr>
              <w:pStyle w:val="Compact"/>
              <w:jc w:val="left"/>
            </w:pPr>
            <w:r>
              <w:t xml:space="preserve">2</w:t>
            </w:r>
          </w:p>
        </w:tc>
        <w:tc>
          <w:tcPr/>
          <w:p>
            <w:pPr>
              <w:pStyle w:val="Compact"/>
              <w:jc w:val="left"/>
            </w:pPr>
            <w:r>
              <w:t xml:space="preserve">3,500</w:t>
            </w:r>
          </w:p>
        </w:tc>
        <w:tc>
          <w:tcPr/>
          <w:p>
            <w:pPr>
              <w:pStyle w:val="Compact"/>
              <w:jc w:val="left"/>
            </w:pPr>
            <w:r>
              <w:t xml:space="preserve">7,000</w:t>
            </w:r>
          </w:p>
        </w:tc>
      </w:tr>
      <w:tr>
        <w:tc>
          <w:tcPr/>
          <w:p>
            <w:pPr>
              <w:pStyle w:val="Compact"/>
              <w:jc w:val="left"/>
            </w:pPr>
            <w:r>
              <w:t xml:space="preserve">6</w:t>
            </w:r>
          </w:p>
        </w:tc>
        <w:tc>
          <w:tcPr/>
          <w:p>
            <w:pPr>
              <w:pStyle w:val="Compact"/>
              <w:jc w:val="left"/>
            </w:pPr>
            <w:r>
              <w:t xml:space="preserve">Post-Treatment Review &amp; Retainer Adjustments</w:t>
            </w:r>
          </w:p>
        </w:tc>
        <w:tc>
          <w:tcPr/>
          <w:p>
            <w:pPr>
              <w:pStyle w:val="Compact"/>
              <w:jc w:val="left"/>
            </w:pPr>
            <w:r>
              <w:t xml:space="preserve">Follow-up visits at 3, 6, 12, and 24 months post-debonding to ensure stability of results</w:t>
            </w:r>
          </w:p>
        </w:tc>
        <w:tc>
          <w:tcPr/>
          <w:p>
            <w:pPr>
              <w:pStyle w:val="Compact"/>
              <w:jc w:val="left"/>
            </w:pPr>
            <w:r>
              <w:t xml:space="preserve">4</w:t>
            </w:r>
          </w:p>
        </w:tc>
        <w:tc>
          <w:tcPr/>
          <w:p>
            <w:pPr>
              <w:pStyle w:val="Compact"/>
              <w:jc w:val="left"/>
            </w:pPr>
            <w:r>
              <w:t xml:space="preserve">500</w:t>
            </w:r>
          </w:p>
        </w:tc>
        <w:tc>
          <w:tcPr/>
          <w:p>
            <w:pPr>
              <w:pStyle w:val="Compact"/>
              <w:jc w:val="left"/>
            </w:pPr>
            <w:r>
              <w:t xml:space="preserve">2,000</w:t>
            </w:r>
          </w:p>
        </w:tc>
      </w:tr>
      <w:tr>
        <w:tc>
          <w:tcPr/>
          <w:p>
            <w:pPr>
              <w:pStyle w:val="Compact"/>
              <w:jc w:val="left"/>
            </w:pPr>
            <w:r>
              <w:t xml:space="preserve">7</w:t>
            </w:r>
          </w:p>
        </w:tc>
        <w:tc>
          <w:tcPr/>
          <w:p>
            <w:pPr>
              <w:pStyle w:val="Compact"/>
              <w:jc w:val="left"/>
            </w:pPr>
            <w:r>
              <w:t xml:space="preserve">Emergency / Breakage Repairs</w:t>
            </w:r>
          </w:p>
        </w:tc>
        <w:tc>
          <w:tcPr/>
          <w:p>
            <w:pPr>
              <w:pStyle w:val="Compact"/>
              <w:jc w:val="left"/>
            </w:pPr>
            <w:r>
              <w:t xml:space="preserve">Up to 3 complimentary repairs for bracket or wire breakage during active treatment</w:t>
            </w:r>
          </w:p>
        </w:tc>
        <w:tc>
          <w:tcPr/>
          <w:p>
            <w:pPr>
              <w:pStyle w:val="Compact"/>
              <w:jc w:val="left"/>
            </w:pPr>
            <w:r>
              <w:t xml:space="preserve">3</w:t>
            </w:r>
          </w:p>
        </w:tc>
        <w:tc>
          <w:tcPr/>
          <w:p>
            <w:pPr>
              <w:pStyle w:val="Compact"/>
              <w:jc w:val="left"/>
            </w:pPr>
            <w:r>
              <w:t xml:space="preserve">0</w:t>
            </w:r>
          </w:p>
        </w:tc>
        <w:tc>
          <w:tcPr/>
          <w:p>
            <w:pPr>
              <w:pStyle w:val="Compact"/>
              <w:jc w:val="left"/>
            </w:pPr>
            <w:r>
              <w:t xml:space="preserve">0</w:t>
            </w:r>
          </w:p>
        </w:tc>
      </w:tr>
      <w:tr>
        <w:tc>
          <w:tcPr/>
          <w:p>
            <w:pPr>
              <w:pStyle w:val="Compact"/>
              <w:jc w:val="left"/>
            </w:pPr>
            <w:r>
              <w:t xml:space="preserve">8</w:t>
            </w:r>
          </w:p>
        </w:tc>
        <w:tc>
          <w:tcPr/>
          <w:p>
            <w:pPr>
              <w:pStyle w:val="Compact"/>
              <w:jc w:val="left"/>
            </w:pPr>
            <w:r>
              <w:t xml:space="preserve">Professional Dental Cleaning (Pre-Treatment)</w:t>
            </w:r>
          </w:p>
        </w:tc>
        <w:tc>
          <w:tcPr/>
          <w:p>
            <w:pPr>
              <w:pStyle w:val="Compact"/>
              <w:jc w:val="left"/>
            </w:pPr>
            <w:r>
              <w:t xml:space="preserve">Ultrasonic scaling and polishing to ensure optimal oral hygiene before bracket placement</w:t>
            </w:r>
          </w:p>
        </w:tc>
        <w:tc>
          <w:tcPr/>
          <w:p>
            <w:pPr>
              <w:pStyle w:val="Compact"/>
              <w:jc w:val="left"/>
            </w:pPr>
            <w:r>
              <w:t xml:space="preserve">1</w:t>
            </w:r>
          </w:p>
        </w:tc>
        <w:tc>
          <w:tcPr/>
          <w:p>
            <w:pPr>
              <w:pStyle w:val="Compact"/>
              <w:jc w:val="left"/>
            </w:pPr>
            <w:r>
              <w:t xml:space="preserve">1,200</w:t>
            </w:r>
          </w:p>
        </w:tc>
        <w:tc>
          <w:tcPr/>
          <w:p>
            <w:pPr>
              <w:pStyle w:val="Compact"/>
              <w:jc w:val="left"/>
            </w:pPr>
            <w:r>
              <w:t xml:space="preserve">1,200</w:t>
            </w:r>
          </w:p>
        </w:tc>
      </w:tr>
      <w:tr>
        <w:tc>
          <w:tcPr>
            <w:gridSpan w:val="5"/>
          </w:tcPr>
          <w:p>
            <w:pPr>
              <w:pStyle w:val="Compact"/>
              <w:jc w:val="right"/>
            </w:pPr>
            <w:r>
              <w:t xml:space="preserve">GRAND TOTAL (EGP)</w:t>
            </w:r>
          </w:p>
        </w:tc>
        <w:tc>
          <w:tcPr/>
          <w:p>
            <w:pPr>
              <w:pStyle w:val="Compact"/>
              <w:jc w:val="left"/>
            </w:pPr>
            <w:r>
              <w:t xml:space="preserve">62,300</w:t>
            </w:r>
          </w:p>
        </w:tc>
      </w:tr>
    </w:tbl>
    <w:p>
      <w:pPr>
        <w:pStyle w:val="BodyText"/>
      </w:pPr>
      <w:r>
        <w:t xml:space="preserve">4. Payment Terms &amp; Schedule</w:t>
      </w:r>
    </w:p>
    <w:p>
      <w:pPr>
        <w:pStyle w:val="BodyText"/>
      </w:pPr>
      <w:r>
        <w:t xml:space="preserve">This</w:t>
      </w:r>
      <w:r>
        <w:t xml:space="preserve"> </w:t>
      </w:r>
      <w:r>
        <w:t xml:space="preserve">Quotation Estimate</w:t>
      </w:r>
      <w:r>
        <w:t xml:space="preserve"> </w:t>
      </w:r>
      <w:r>
        <w:t xml:space="preserve">from our</w:t>
      </w:r>
      <w:r>
        <w:t xml:space="preserve"> </w:t>
      </w:r>
      <w:r>
        <w:t xml:space="preserve">Orthodontist</w:t>
      </w:r>
      <w:r>
        <w:t xml:space="preserve"> </w:t>
      </w:r>
      <w:r>
        <w:t xml:space="preserve">practice in</w:t>
      </w:r>
      <w:r>
        <w:t xml:space="preserve"> </w:t>
      </w:r>
      <w:r>
        <w:t xml:space="preserve">Egypt Alexandria</w:t>
      </w:r>
      <w:r>
        <w:t xml:space="preserve"> </w:t>
      </w:r>
      <w:r>
        <w:t xml:space="preserve">offers the following payment structure to accommodate the patient's financial planning:</w:t>
      </w:r>
    </w:p>
    <w:p>
      <w:pPr>
        <w:numPr>
          <w:ilvl w:val="0"/>
          <w:numId w:val="1001"/>
        </w:numPr>
        <w:pStyle w:val="Compact"/>
      </w:pPr>
      <w:r>
        <w:rPr>
          <w:bCs/>
          <w:b/>
        </w:rPr>
        <w:t xml:space="preserve">Down Payment (upon acceptance):</w:t>
      </w:r>
      <w:r>
        <w:t xml:space="preserve"> </w:t>
      </w:r>
      <w:r>
        <w:t xml:space="preserve">30% of the Grand Total = EGP 18,690, due within 5 business days of signing.</w:t>
      </w:r>
    </w:p>
    <w:p>
      <w:pPr>
        <w:numPr>
          <w:ilvl w:val="0"/>
          <w:numId w:val="1001"/>
        </w:numPr>
        <w:pStyle w:val="Compact"/>
      </w:pPr>
      <w:r>
        <w:rPr>
          <w:bCs/>
          <w:b/>
        </w:rPr>
        <w:t xml:space="preserve">Monthly Installments:</w:t>
      </w:r>
      <w:r>
        <w:t xml:space="preserve"> </w:t>
      </w:r>
      <w:r>
        <w:t xml:space="preserve">The remaining 70% (EGP 43,610) shall be paid in 18 equal monthly installments of approximately EGP 2,423, aligned with each orthodontic adjustment visit.</w:t>
      </w:r>
    </w:p>
    <w:p>
      <w:pPr>
        <w:numPr>
          <w:ilvl w:val="0"/>
          <w:numId w:val="1001"/>
        </w:numPr>
        <w:pStyle w:val="Compact"/>
      </w:pPr>
      <w:r>
        <w:rPr>
          <w:bCs/>
          <w:b/>
        </w:rPr>
        <w:t xml:space="preserve">Accepted Payment Methods:</w:t>
      </w:r>
      <w:r>
        <w:t xml:space="preserve"> </w:t>
      </w:r>
      <w:r>
        <w:t xml:space="preserve">Cash, bank transfer (CIB, NBE, or Alexandria National Bank), or credit/debit card (Visa, Mastercard). A 2% surcharge applies to card payments.</w:t>
      </w:r>
    </w:p>
    <w:p>
      <w:pPr>
        <w:numPr>
          <w:ilvl w:val="0"/>
          <w:numId w:val="1001"/>
        </w:numPr>
        <w:pStyle w:val="Compact"/>
      </w:pPr>
      <w:r>
        <w:rPr>
          <w:bCs/>
          <w:b/>
        </w:rPr>
        <w:t xml:space="preserve">Late Payment:</w:t>
      </w:r>
      <w:r>
        <w:t xml:space="preserve"> </w:t>
      </w:r>
      <w:r>
        <w:t xml:space="preserve">A 5% monthly interest will be applied to any outstanding balance exceeding 15 days past due.</w:t>
      </w:r>
    </w:p>
    <w:p>
      <w:pPr>
        <w:pStyle w:val="FirstParagraph"/>
      </w:pPr>
      <w:r>
        <w:t xml:space="preserve">5. Terms &amp; Conditions</w:t>
      </w:r>
    </w:p>
    <w:p>
      <w:pPr>
        <w:numPr>
          <w:ilvl w:val="0"/>
          <w:numId w:val="1002"/>
        </w:numPr>
        <w:pStyle w:val="Compact"/>
      </w:pPr>
      <w:r>
        <w:t xml:space="preserve">This</w:t>
      </w:r>
      <w:r>
        <w:t xml:space="preserve"> </w:t>
      </w:r>
      <w:r>
        <w:t xml:space="preserve">Quotation Estimate</w:t>
      </w:r>
      <w:r>
        <w:t xml:space="preserve"> </w:t>
      </w:r>
      <w:r>
        <w:t xml:space="preserve">is valid for 30 calendar days from the date of issue. After this period, prices may be subject to revision based on material cost fluctuations in the Egyptian market.</w:t>
      </w:r>
    </w:p>
    <w:p>
      <w:pPr>
        <w:numPr>
          <w:ilvl w:val="0"/>
          <w:numId w:val="1002"/>
        </w:numPr>
        <w:pStyle w:val="Compact"/>
      </w:pPr>
      <w:r>
        <w:t xml:space="preserve">All orthodontic procedures will be performed or directly supervised by a licensed</w:t>
      </w:r>
      <w:r>
        <w:t xml:space="preserve"> </w:t>
      </w:r>
      <w:r>
        <w:t xml:space="preserve">Orthodontist</w:t>
      </w:r>
      <w:r>
        <w:t xml:space="preserve"> </w:t>
      </w:r>
      <w:r>
        <w:t xml:space="preserve">registered with the Alexandria Medical Syndicate and the Egyptian Ministry of Health.</w:t>
      </w:r>
    </w:p>
    <w:p>
      <w:pPr>
        <w:numPr>
          <w:ilvl w:val="0"/>
          <w:numId w:val="1002"/>
        </w:numPr>
        <w:pStyle w:val="Compact"/>
      </w:pPr>
      <w:r>
        <w:t xml:space="preserve">The estimated treatment duration is 18 to 24 months. Actual duration may vary depending on the patient's biological response and compliance with the</w:t>
      </w:r>
      <w:r>
        <w:t xml:space="preserve"> </w:t>
      </w:r>
      <w:r>
        <w:t xml:space="preserve">Orthodontist</w:t>
      </w:r>
      <w:r>
        <w:t xml:space="preserve">'s instructions.</w:t>
      </w:r>
    </w:p>
    <w:p>
      <w:pPr>
        <w:numPr>
          <w:ilvl w:val="0"/>
          <w:numId w:val="1002"/>
        </w:numPr>
        <w:pStyle w:val="Compact"/>
      </w:pPr>
      <w:r>
        <w:t xml:space="preserve">The patient is responsible for maintaining excellent oral hygiene throughout treatment. Failure to do so may result in additional costs for caries treatment or periodontal intervention, which are not included in this</w:t>
      </w:r>
      <w:r>
        <w:t xml:space="preserve"> </w:t>
      </w:r>
      <w:r>
        <w:t xml:space="preserve">Quotation Estimate</w:t>
      </w:r>
      <w:r>
        <w:t xml:space="preserve">.</w:t>
      </w:r>
    </w:p>
    <w:p>
      <w:pPr>
        <w:numPr>
          <w:ilvl w:val="0"/>
          <w:numId w:val="1002"/>
        </w:numPr>
        <w:pStyle w:val="Compact"/>
      </w:pPr>
      <w:r>
        <w:t xml:space="preserve">In the event of treatment interruption exceeding 60 days without medical justification, a re-entry fee of EGP 2,000 will apply.</w:t>
      </w:r>
    </w:p>
    <w:p>
      <w:pPr>
        <w:numPr>
          <w:ilvl w:val="0"/>
          <w:numId w:val="1002"/>
        </w:numPr>
        <w:pStyle w:val="Compact"/>
      </w:pPr>
      <w:r>
        <w:t xml:space="preserve">All clinical records, radiographs, and digital scans remain the property of the Alexandria Dental &amp; Orthodontic Center. The patient may request a copy at a nominal reproduction cost.</w:t>
      </w:r>
    </w:p>
    <w:p>
      <w:pPr>
        <w:numPr>
          <w:ilvl w:val="0"/>
          <w:numId w:val="1002"/>
        </w:numPr>
        <w:pStyle w:val="Compact"/>
      </w:pPr>
      <w:r>
        <w:t xml:space="preserve">This</w:t>
      </w:r>
      <w:r>
        <w:t xml:space="preserve"> </w:t>
      </w:r>
      <w:r>
        <w:t xml:space="preserve">Quotation Estimate</w:t>
      </w:r>
      <w:r>
        <w:t xml:space="preserve"> </w:t>
      </w:r>
      <w:r>
        <w:t xml:space="preserve">is governed by the laws of the Arab Republic of Egypt. Any disputes shall be resolved through the Alexandria Medical Disputes Committee or the competent courts in</w:t>
      </w:r>
      <w:r>
        <w:t xml:space="preserve"> </w:t>
      </w:r>
      <w:r>
        <w:t xml:space="preserve">Egypt Alexandria</w:t>
      </w:r>
      <w:r>
        <w:t xml:space="preserve">.</w:t>
      </w:r>
    </w:p>
    <w:p>
      <w:pPr>
        <w:numPr>
          <w:ilvl w:val="0"/>
          <w:numId w:val="1002"/>
        </w:numPr>
        <w:pStyle w:val="Compact"/>
      </w:pPr>
      <w:r>
        <w:t xml:space="preserve">The clinic operates Monday through Saturday, 9:00 AM to 8:00 PM, and Sunday 10:00 AM to 2:00 PM, in accordance with standard working hours in</w:t>
      </w:r>
      <w:r>
        <w:t xml:space="preserve"> </w:t>
      </w:r>
      <w:r>
        <w:t xml:space="preserve">Egypt Alexandria</w:t>
      </w:r>
      <w:r>
        <w:t xml:space="preserve">.</w:t>
      </w:r>
    </w:p>
    <w:p>
      <w:pPr>
        <w:pStyle w:val="FirstParagraph"/>
      </w:pPr>
      <w:r>
        <w:t xml:space="preserve">6. Acceptance &amp; Signatures</w:t>
      </w:r>
    </w:p>
    <w:p>
      <w:pPr>
        <w:pStyle w:val="BodyText"/>
      </w:pPr>
      <w:r>
        <w:t xml:space="preserve">By signing below, both parties acknowledge that this</w:t>
      </w:r>
      <w:r>
        <w:t xml:space="preserve"> </w:t>
      </w:r>
      <w:r>
        <w:t xml:space="preserve">Quotation Estimate</w:t>
      </w:r>
      <w:r>
        <w:t xml:space="preserve"> </w:t>
      </w:r>
      <w:r>
        <w:t xml:space="preserve">for</w:t>
      </w:r>
      <w:r>
        <w:t xml:space="preserve"> </w:t>
      </w:r>
      <w:r>
        <w:t xml:space="preserve">Orthodontist</w:t>
      </w:r>
      <w:r>
        <w:t xml:space="preserve"> </w:t>
      </w:r>
      <w:r>
        <w:t xml:space="preserve">services in</w:t>
      </w:r>
      <w:r>
        <w:t xml:space="preserve"> </w:t>
      </w:r>
      <w:r>
        <w:t xml:space="preserve">Egypt Alexandria</w:t>
      </w:r>
      <w:r>
        <w:t xml:space="preserve"> </w:t>
      </w:r>
      <w:r>
        <w:t xml:space="preserve">has been reviewed, understood, and accepted in full. The patient confirms that the</w:t>
      </w:r>
      <w:r>
        <w:t xml:space="preserve"> </w:t>
      </w:r>
      <w:r>
        <w:t xml:space="preserve">Orthodontist</w:t>
      </w:r>
      <w:r>
        <w:t xml:space="preserve"> </w:t>
      </w:r>
      <w:r>
        <w:t xml:space="preserve">has explained the proposed treatment plan, expected outcomes, potential risks, and alternative options in clear and comprehensible terms.</w:t>
      </w:r>
    </w:p>
    <w:p>
      <w:pPr>
        <w:pStyle w:val="BodyText"/>
      </w:pPr>
      <w:r>
        <w:rPr>
          <w:bCs/>
          <w:b/>
        </w:rPr>
        <w:t xml:space="preserve">For the Patient</w:t>
      </w:r>
      <w:r>
        <w:br/>
      </w:r>
      <w:r>
        <w:t xml:space="preserve">Name: Mr. Ahmed Hassan El-Sayed</w:t>
      </w:r>
      <w:r>
        <w:br/>
      </w:r>
      <w:r>
        <w:t xml:space="preserve">Signature &amp; Date: _________________________</w:t>
      </w:r>
    </w:p>
    <w:p>
      <w:pPr>
        <w:pStyle w:val="BodyText"/>
      </w:pPr>
      <w:r>
        <w:rPr>
          <w:bCs/>
          <w:b/>
        </w:rPr>
        <w:t xml:space="preserve">For the Orthodontist / Clinic</w:t>
      </w:r>
      <w:r>
        <w:br/>
      </w:r>
      <w:r>
        <w:t xml:space="preserve">Dr. Mona Fathy, Lead Orthodontist</w:t>
      </w:r>
      <w:r>
        <w:br/>
      </w:r>
      <w:r>
        <w:t xml:space="preserve">Alexandria Dental &amp; Orthodontic Center</w:t>
      </w:r>
      <w:r>
        <w:br/>
      </w:r>
      <w:r>
        <w:t xml:space="preserve">Signature, Stamp &amp; Date: _________________________</w:t>
      </w:r>
    </w:p>
    <w:p>
      <w:pPr>
        <w:pStyle w:val="BodyText"/>
      </w:pPr>
      <w:r>
        <w:t xml:space="preserve">This Quotation Estimate document was generated by the Alexandria Dental &amp; Orthodontic Center, a licensed Orthodontist practice in Egypt Alexandria.</w:t>
      </w:r>
      <w:r>
        <w:t xml:space="preserve"> </w:t>
      </w:r>
      <w:r>
        <w:t xml:space="preserve">All prices are quoted in Egyptian Pounds (EGP) and are inclusive of VAT where applicable.</w:t>
      </w:r>
      <w:r>
        <w:t xml:space="preserve"> </w:t>
      </w:r>
      <w:r>
        <w:t xml:space="preserve">Document Ref: QE-2025-0734 | 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Services - Egypt Alexandria</dc:title>
  <dc:creator/>
  <dc:language>en</dc:language>
  <cp:keywords/>
  <dcterms:created xsi:type="dcterms:W3CDTF">2026-10-10T07:02:42Z</dcterms:created>
  <dcterms:modified xsi:type="dcterms:W3CDTF">2026-10-10T07:02:42Z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