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Orthodontist Services — Ethiopia Addis Ababa</w:t>
      </w:r>
    </w:p>
    <w:p>
      <w:pPr>
        <w:pStyle w:val="BodyText"/>
      </w:pPr>
      <w:r>
        <w:t xml:space="preserve">Ref: QTE-ADD-2025-0472</w:t>
      </w:r>
    </w:p>
    <w:bookmarkEnd w:id="20"/>
    <w:bookmarkStart w:id="21" w:name="provider-details"/>
    <w:p>
      <w:pPr>
        <w:pStyle w:val="Heading3"/>
      </w:pPr>
      <w:r>
        <w:t xml:space="preserve">Provider Details</w:t>
      </w:r>
    </w:p>
    <w:p>
      <w:pPr>
        <w:pStyle w:val="FirstParagraph"/>
      </w:pPr>
      <w:r>
        <w:rPr>
          <w:bCs/>
          <w:b/>
        </w:rPr>
        <w:t xml:space="preserve">Dr. Selamawit Bekele, DDS, MS</w:t>
      </w:r>
    </w:p>
    <w:p>
      <w:pPr>
        <w:pStyle w:val="BodyText"/>
      </w:pPr>
      <w:r>
        <w:t xml:space="preserve">Lead Orthodontist</w:t>
      </w:r>
    </w:p>
    <w:p>
      <w:pPr>
        <w:pStyle w:val="BodyText"/>
      </w:pPr>
      <w:r>
        <w:t xml:space="preserve">Addis Ababa Smile Orthodontic Center</w:t>
      </w:r>
    </w:p>
    <w:p>
      <w:pPr>
        <w:pStyle w:val="BodyText"/>
      </w:pPr>
      <w:r>
        <w:t xml:space="preserve">Bole Road, Near Friendship Hotel</w:t>
      </w:r>
    </w:p>
    <w:p>
      <w:pPr>
        <w:pStyle w:val="BodyText"/>
      </w:pPr>
      <w:r>
        <w:t xml:space="preserve">Addis Ababa, Ethiopia</w:t>
      </w:r>
    </w:p>
    <w:p>
      <w:pPr>
        <w:pStyle w:val="BodyText"/>
      </w:pPr>
      <w:r>
        <w:t xml:space="preserve">Tel: +251-11-555-0142</w:t>
      </w:r>
    </w:p>
    <w:p>
      <w:pPr>
        <w:pStyle w:val="BodyText"/>
      </w:pPr>
      <w:r>
        <w:t xml:space="preserve">Email: info@addissmileorthodontics.et</w:t>
      </w:r>
    </w:p>
    <w:bookmarkEnd w:id="21"/>
    <w:bookmarkStart w:id="22" w:name="client-details"/>
    <w:p>
      <w:pPr>
        <w:pStyle w:val="Heading3"/>
      </w:pPr>
      <w:r>
        <w:t xml:space="preserve">Client Details</w:t>
      </w:r>
    </w:p>
    <w:p>
      <w:pPr>
        <w:pStyle w:val="FirstParagraph"/>
      </w:pPr>
      <w:r>
        <w:rPr>
          <w:bCs/>
          <w:b/>
        </w:rPr>
        <w:t xml:space="preserve">Mr. Tesfaye Alemu</w:t>
      </w:r>
    </w:p>
    <w:p>
      <w:pPr>
        <w:pStyle w:val="BodyText"/>
      </w:pPr>
      <w:r>
        <w:t xml:space="preserve">Patient / Account Holder</w:t>
      </w:r>
    </w:p>
    <w:p>
      <w:pPr>
        <w:pStyle w:val="BodyText"/>
      </w:pPr>
      <w:r>
        <w:t xml:space="preserve">House No. 14, Woreda 03</w:t>
      </w:r>
    </w:p>
    <w:p>
      <w:pPr>
        <w:pStyle w:val="BodyText"/>
      </w:pPr>
      <w:r>
        <w:t xml:space="preserve">Kazanchis, Addis Ababa</w:t>
      </w:r>
    </w:p>
    <w:p>
      <w:pPr>
        <w:pStyle w:val="BodyText"/>
      </w:pPr>
      <w:r>
        <w:t xml:space="preserve">Ethiopia</w:t>
      </w:r>
    </w:p>
    <w:p>
      <w:pPr>
        <w:pStyle w:val="BodyText"/>
      </w:pPr>
      <w:r>
        <w:t xml:space="preserve">Tel: +251-91-234-5678</w:t>
      </w:r>
    </w:p>
    <w:p>
      <w:pPr>
        <w:pStyle w:val="BodyText"/>
      </w:pPr>
      <w:r>
        <w:t xml:space="preserve">Email: tesfaye.alemu@email.com</w:t>
      </w:r>
    </w:p>
    <w:bookmarkEnd w:id="22"/>
    <w:bookmarkStart w:id="23" w:name="document-information"/>
    <w:p>
      <w:pPr>
        <w:pStyle w:val="Heading3"/>
      </w:pPr>
      <w:r>
        <w:t xml:space="preserve">Document Information</w:t>
      </w:r>
    </w:p>
    <w:p>
      <w:pPr>
        <w:pStyle w:val="FirstParagraph"/>
      </w:pPr>
      <w:r>
        <w:rPr>
          <w:bCs/>
          <w:b/>
        </w:rPr>
        <w:t xml:space="preserve">Quotation Estimate Date: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Ethiopian Birr (ETB)</w:t>
      </w:r>
    </w:p>
    <w:p>
      <w:pPr>
        <w:pStyle w:val="BodyText"/>
      </w:pPr>
      <w:r>
        <w:rPr>
          <w:bCs/>
          <w:b/>
        </w:rPr>
        <w:t xml:space="preserve">Prepared By:</w:t>
      </w:r>
      <w:r>
        <w:t xml:space="preserve"> </w:t>
      </w:r>
      <w:r>
        <w:t xml:space="preserve">Dr. Selamawit Bekele</w:t>
      </w:r>
    </w:p>
    <w:bookmarkEnd w:id="23"/>
    <w:bookmarkStart w:id="24" w:name="diagnosis-summary"/>
    <w:p>
      <w:pPr>
        <w:pStyle w:val="Heading3"/>
      </w:pPr>
      <w:r>
        <w:t xml:space="preserve">Diagnosis Summary</w:t>
      </w:r>
    </w:p>
    <w:p>
      <w:pPr>
        <w:pStyle w:val="FirstParagraph"/>
      </w:pPr>
      <w:r>
        <w:rPr>
          <w:bCs/>
          <w:b/>
        </w:rPr>
        <w:t xml:space="preserve">Condition:</w:t>
      </w:r>
      <w:r>
        <w:t xml:space="preserve"> </w:t>
      </w:r>
      <w:r>
        <w:t xml:space="preserve">Class II Malocclusion with Crowding</w:t>
      </w:r>
    </w:p>
    <w:p>
      <w:pPr>
        <w:pStyle w:val="BodyText"/>
      </w:pPr>
      <w:r>
        <w:rPr>
          <w:bCs/>
          <w:b/>
        </w:rPr>
        <w:t xml:space="preserve">Recommended Treatment:</w:t>
      </w:r>
      <w:r>
        <w:t xml:space="preserve"> </w:t>
      </w:r>
      <w:r>
        <w:t xml:space="preserve">Comprehensive Fixed Orthodontic Appliance</w:t>
      </w:r>
    </w:p>
    <w:p>
      <w:pPr>
        <w:pStyle w:val="BodyText"/>
      </w:pPr>
      <w:r>
        <w:rPr>
          <w:bCs/>
          <w:b/>
        </w:rPr>
        <w:t xml:space="preserve">Estimated Duration:</w:t>
      </w:r>
      <w:r>
        <w:t xml:space="preserve"> </w:t>
      </w:r>
      <w:r>
        <w:t xml:space="preserve">24–30 months</w:t>
      </w:r>
    </w:p>
    <w:p>
      <w:pPr>
        <w:pStyle w:val="BodyText"/>
      </w:pPr>
      <w:r>
        <w:rPr>
          <w:bCs/>
          <w:b/>
        </w:rPr>
        <w:t xml:space="preserve">Referral Source:</w:t>
      </w:r>
      <w:r>
        <w:t xml:space="preserve"> </w:t>
      </w:r>
      <w:r>
        <w:t xml:space="preserve">Self-Referral</w:t>
      </w:r>
    </w:p>
    <w:bookmarkEnd w:id="24"/>
    <w:bookmarkStart w:id="25" w:name="X01add4f2b46e2ef30f5e69684e806c43d2f0e7e"/>
    <w:p>
      <w:pPr>
        <w:pStyle w:val="Heading2"/>
      </w:pPr>
      <w:r>
        <w:t xml:space="preserve">Itemized Quotation Estimate for Orthodontist Treatment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Procedure Description</w:t>
            </w:r>
          </w:p>
        </w:tc>
        <w:tc>
          <w:tcPr/>
          <w:p>
            <w:pPr>
              <w:pStyle w:val="Compact"/>
              <w:jc w:val="left"/>
            </w:pPr>
            <w:r>
              <w:t xml:space="preserve">Frequency</w:t>
            </w:r>
          </w:p>
        </w:tc>
        <w:tc>
          <w:tcPr/>
          <w:p>
            <w:pPr>
              <w:pStyle w:val="Compact"/>
              <w:jc w:val="left"/>
            </w:pPr>
            <w:r>
              <w:t xml:space="preserve">Unit Price (ETB)</w:t>
            </w:r>
          </w:p>
        </w:tc>
        <w:tc>
          <w:tcPr/>
          <w:p>
            <w:pPr>
              <w:pStyle w:val="Compact"/>
              <w:jc w:val="left"/>
            </w:pPr>
            <w:r>
              <w:t xml:space="preserve">Total (ETB)</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Consultation &amp; Comprehensive Diagnostic Records (Panoramic X-ray, Cephalometric X-ray, Intraoral Photographs, Digital Impressions)</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Includes treatment plan</w:t>
            </w:r>
          </w:p>
        </w:tc>
      </w:tr>
      <w:tr>
        <w:tc>
          <w:tcPr/>
          <w:p>
            <w:pPr>
              <w:pStyle w:val="Compact"/>
              <w:jc w:val="left"/>
            </w:pPr>
            <w:r>
              <w:t xml:space="preserve">2</w:t>
            </w:r>
          </w:p>
        </w:tc>
        <w:tc>
          <w:tcPr/>
          <w:p>
            <w:pPr>
              <w:pStyle w:val="Compact"/>
              <w:jc w:val="left"/>
            </w:pPr>
            <w:r>
              <w:t xml:space="preserve">Pre-Orthodontic Dental Hygiene &amp; Scaling (Full Mouth)</w:t>
            </w:r>
          </w:p>
        </w:tc>
        <w:tc>
          <w:tcPr/>
          <w:p>
            <w:pPr>
              <w:pStyle w:val="Compact"/>
              <w:jc w:val="left"/>
            </w:pPr>
            <w:r>
              <w:t xml:space="preserve">One-time</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Required before appliance placement</w:t>
            </w:r>
          </w:p>
        </w:tc>
      </w:tr>
      <w:tr>
        <w:tc>
          <w:tcPr/>
          <w:p>
            <w:pPr>
              <w:pStyle w:val="Compact"/>
              <w:jc w:val="left"/>
            </w:pPr>
            <w:r>
              <w:t xml:space="preserve">3</w:t>
            </w:r>
          </w:p>
        </w:tc>
        <w:tc>
          <w:tcPr/>
          <w:p>
            <w:pPr>
              <w:pStyle w:val="Compact"/>
              <w:jc w:val="left"/>
            </w:pPr>
            <w:r>
              <w:t xml:space="preserve">Extraction of Premolars (4 teeth) with Local Anesthesia</w:t>
            </w:r>
          </w:p>
        </w:tc>
        <w:tc>
          <w:tcPr/>
          <w:p>
            <w:pPr>
              <w:pStyle w:val="Compact"/>
              <w:jc w:val="left"/>
            </w:pPr>
            <w:r>
              <w:t xml:space="preserve">One-time</w:t>
            </w:r>
          </w:p>
        </w:tc>
        <w:tc>
          <w:tcPr/>
          <w:p>
            <w:pPr>
              <w:pStyle w:val="Compact"/>
              <w:jc w:val="left"/>
            </w:pPr>
            <w:r>
              <w:t xml:space="preserve">2,800.00</w:t>
            </w:r>
          </w:p>
        </w:tc>
        <w:tc>
          <w:tcPr/>
          <w:p>
            <w:pPr>
              <w:pStyle w:val="Compact"/>
              <w:jc w:val="left"/>
            </w:pPr>
            <w:r>
              <w:t xml:space="preserve">11,200.00</w:t>
            </w:r>
          </w:p>
        </w:tc>
        <w:tc>
          <w:tcPr/>
          <w:p>
            <w:pPr>
              <w:pStyle w:val="Compact"/>
              <w:jc w:val="left"/>
            </w:pPr>
            <w:r>
              <w:t xml:space="preserve">Per tooth rate applied</w:t>
            </w:r>
          </w:p>
        </w:tc>
      </w:tr>
      <w:tr>
        <w:tc>
          <w:tcPr/>
          <w:p>
            <w:pPr>
              <w:pStyle w:val="Compact"/>
              <w:jc w:val="left"/>
            </w:pPr>
            <w:r>
              <w:t xml:space="preserve">4</w:t>
            </w:r>
          </w:p>
        </w:tc>
        <w:tc>
          <w:tcPr/>
          <w:p>
            <w:pPr>
              <w:pStyle w:val="Compact"/>
              <w:jc w:val="left"/>
            </w:pPr>
            <w:r>
              <w:t xml:space="preserve">Placement of Fixed Metal Brackets &amp; Archwires (Full Mouth — 28 brackets)</w:t>
            </w:r>
          </w:p>
        </w:tc>
        <w:tc>
          <w:tcPr/>
          <w:p>
            <w:pPr>
              <w:pStyle w:val="Compact"/>
              <w:jc w:val="left"/>
            </w:pPr>
            <w:r>
              <w:t xml:space="preserve">One-time</w:t>
            </w:r>
          </w:p>
        </w:tc>
        <w:tc>
          <w:tcPr/>
          <w:p>
            <w:pPr>
              <w:pStyle w:val="Compact"/>
              <w:jc w:val="left"/>
            </w:pPr>
            <w:r>
              <w:t xml:space="preserve">38,000.00</w:t>
            </w:r>
          </w:p>
        </w:tc>
        <w:tc>
          <w:tcPr/>
          <w:p>
            <w:pPr>
              <w:pStyle w:val="Compact"/>
              <w:jc w:val="left"/>
            </w:pPr>
            <w:r>
              <w:t xml:space="preserve">38,000.00</w:t>
            </w:r>
          </w:p>
        </w:tc>
        <w:tc>
          <w:tcPr/>
          <w:p>
            <w:pPr>
              <w:pStyle w:val="Compact"/>
              <w:jc w:val="left"/>
            </w:pPr>
            <w:r>
              <w:t xml:space="preserve">Includes bonding agent</w:t>
            </w:r>
          </w:p>
        </w:tc>
      </w:tr>
      <w:tr>
        <w:tc>
          <w:tcPr/>
          <w:p>
            <w:pPr>
              <w:pStyle w:val="Compact"/>
              <w:jc w:val="left"/>
            </w:pPr>
            <w:r>
              <w:t xml:space="preserve">5</w:t>
            </w:r>
          </w:p>
        </w:tc>
        <w:tc>
          <w:tcPr/>
          <w:p>
            <w:pPr>
              <w:pStyle w:val="Compact"/>
              <w:jc w:val="left"/>
            </w:pPr>
            <w:r>
              <w:t xml:space="preserve">Monthly Orthodontist Adjustment &amp; Wire Changes (24 sessions)</w:t>
            </w:r>
          </w:p>
        </w:tc>
        <w:tc>
          <w:tcPr/>
          <w:p>
            <w:pPr>
              <w:pStyle w:val="Compact"/>
              <w:jc w:val="left"/>
            </w:pPr>
            <w:r>
              <w:t xml:space="preserve">Monthly × 24</w:t>
            </w:r>
          </w:p>
        </w:tc>
        <w:tc>
          <w:tcPr/>
          <w:p>
            <w:pPr>
              <w:pStyle w:val="Compact"/>
              <w:jc w:val="left"/>
            </w:pPr>
            <w:r>
              <w:t xml:space="preserve">2,500.00</w:t>
            </w:r>
          </w:p>
        </w:tc>
        <w:tc>
          <w:tcPr/>
          <w:p>
            <w:pPr>
              <w:pStyle w:val="Compact"/>
              <w:jc w:val="left"/>
            </w:pPr>
            <w:r>
              <w:t xml:space="preserve">60,000.00</w:t>
            </w:r>
          </w:p>
        </w:tc>
        <w:tc>
          <w:tcPr/>
          <w:p>
            <w:pPr>
              <w:pStyle w:val="Compact"/>
              <w:jc w:val="left"/>
            </w:pPr>
            <w:r>
              <w:t xml:space="preserve">Includes elastic replacements</w:t>
            </w:r>
          </w:p>
        </w:tc>
      </w:tr>
      <w:tr>
        <w:tc>
          <w:tcPr/>
          <w:p>
            <w:pPr>
              <w:pStyle w:val="Compact"/>
              <w:jc w:val="left"/>
            </w:pPr>
            <w:r>
              <w:t xml:space="preserve">6</w:t>
            </w:r>
          </w:p>
        </w:tc>
        <w:tc>
          <w:tcPr/>
          <w:p>
            <w:pPr>
              <w:pStyle w:val="Compact"/>
              <w:jc w:val="left"/>
            </w:pPr>
            <w:r>
              <w:t xml:space="preserve">Interproximal Reduction (IPR) — Selective Enamel Reduction</w:t>
            </w:r>
          </w:p>
        </w:tc>
        <w:tc>
          <w:tcPr/>
          <w:p>
            <w:pPr>
              <w:pStyle w:val="Compact"/>
              <w:jc w:val="left"/>
            </w:pPr>
            <w:r>
              <w:t xml:space="preserve">As needed</w:t>
            </w:r>
          </w:p>
        </w:tc>
        <w:tc>
          <w:tcPr/>
          <w:p>
            <w:pPr>
              <w:pStyle w:val="Compact"/>
              <w:jc w:val="left"/>
            </w:pPr>
            <w:r>
              <w:t xml:space="preserve">1,500.00</w:t>
            </w:r>
          </w:p>
        </w:tc>
        <w:tc>
          <w:tcPr/>
          <w:p>
            <w:pPr>
              <w:pStyle w:val="Compact"/>
              <w:jc w:val="left"/>
            </w:pPr>
            <w:r>
              <w:t xml:space="preserve">4,500.00</w:t>
            </w:r>
          </w:p>
        </w:tc>
        <w:tc>
          <w:tcPr/>
          <w:p>
            <w:pPr>
              <w:pStyle w:val="Compact"/>
              <w:jc w:val="left"/>
            </w:pPr>
            <w:r>
              <w:t xml:space="preserve">Estimated 3 sessions</w:t>
            </w:r>
          </w:p>
        </w:tc>
      </w:tr>
      <w:tr>
        <w:tc>
          <w:tcPr/>
          <w:p>
            <w:pPr>
              <w:pStyle w:val="Compact"/>
              <w:jc w:val="left"/>
            </w:pPr>
            <w:r>
              <w:t xml:space="preserve">7</w:t>
            </w:r>
          </w:p>
        </w:tc>
        <w:tc>
          <w:tcPr/>
          <w:p>
            <w:pPr>
              <w:pStyle w:val="Compact"/>
              <w:jc w:val="left"/>
            </w:pPr>
            <w:r>
              <w:t xml:space="preserve">Removable Retainer Fabrication (Upper &amp; Lower — 2 sets)</w:t>
            </w:r>
          </w:p>
        </w:tc>
        <w:tc>
          <w:tcPr/>
          <w:p>
            <w:pPr>
              <w:pStyle w:val="Compact"/>
              <w:jc w:val="left"/>
            </w:pPr>
            <w:r>
              <w:t xml:space="preserve">One-time</w:t>
            </w:r>
          </w:p>
        </w:tc>
        <w:tc>
          <w:tcPr/>
          <w:p>
            <w:pPr>
              <w:pStyle w:val="Compact"/>
              <w:jc w:val="left"/>
            </w:pPr>
            <w:r>
              <w:t xml:space="preserve">5,500.00</w:t>
            </w:r>
          </w:p>
        </w:tc>
        <w:tc>
          <w:tcPr/>
          <w:p>
            <w:pPr>
              <w:pStyle w:val="Compact"/>
              <w:jc w:val="left"/>
            </w:pPr>
            <w:r>
              <w:t xml:space="preserve">11,000.00</w:t>
            </w:r>
          </w:p>
        </w:tc>
        <w:tc>
          <w:tcPr/>
          <w:p>
            <w:pPr>
              <w:pStyle w:val="Compact"/>
              <w:jc w:val="left"/>
            </w:pPr>
            <w:r>
              <w:t xml:space="preserve">Acrylic Hawley type</w:t>
            </w:r>
          </w:p>
        </w:tc>
      </w:tr>
      <w:tr>
        <w:tc>
          <w:tcPr/>
          <w:p>
            <w:pPr>
              <w:pStyle w:val="Compact"/>
              <w:jc w:val="left"/>
            </w:pPr>
            <w:r>
              <w:t xml:space="preserve">8</w:t>
            </w:r>
          </w:p>
        </w:tc>
        <w:tc>
          <w:tcPr/>
          <w:p>
            <w:pPr>
              <w:pStyle w:val="Compact"/>
              <w:jc w:val="left"/>
            </w:pPr>
            <w:r>
              <w:t xml:space="preserve">Post-Treatment Follow-Up &amp; Retainer Adjustments (6 months)</w:t>
            </w:r>
          </w:p>
        </w:tc>
        <w:tc>
          <w:tcPr/>
          <w:p>
            <w:pPr>
              <w:pStyle w:val="Compact"/>
              <w:jc w:val="left"/>
            </w:pPr>
            <w:r>
              <w:t xml:space="preserve">Every 6 weeks</w:t>
            </w:r>
          </w:p>
        </w:tc>
        <w:tc>
          <w:tcPr/>
          <w:p>
            <w:pPr>
              <w:pStyle w:val="Compact"/>
              <w:jc w:val="left"/>
            </w:pPr>
            <w:r>
              <w:t xml:space="preserve">1,200.00</w:t>
            </w:r>
          </w:p>
        </w:tc>
        <w:tc>
          <w:tcPr/>
          <w:p>
            <w:pPr>
              <w:pStyle w:val="Compact"/>
              <w:jc w:val="left"/>
            </w:pPr>
            <w:r>
              <w:t xml:space="preserve">7,200.00</w:t>
            </w:r>
          </w:p>
        </w:tc>
        <w:tc>
          <w:tcPr/>
          <w:p>
            <w:pPr>
              <w:pStyle w:val="Compact"/>
              <w:jc w:val="left"/>
            </w:pPr>
            <w:r>
              <w:t xml:space="preserve">6 visits included</w:t>
            </w:r>
          </w:p>
        </w:tc>
      </w:tr>
      <w:tr>
        <w:tc>
          <w:tcPr/>
          <w:p>
            <w:pPr>
              <w:pStyle w:val="Compact"/>
              <w:jc w:val="left"/>
            </w:pPr>
            <w:r>
              <w:t xml:space="preserve">9</w:t>
            </w:r>
          </w:p>
        </w:tc>
        <w:tc>
          <w:tcPr/>
          <w:p>
            <w:pPr>
              <w:pStyle w:val="Compact"/>
              <w:jc w:val="left"/>
            </w:pPr>
            <w:r>
              <w:t xml:space="preserve">Emergency Orthodontist Visit (Broken bracket, wire irritation) — Up to 3 visits</w:t>
            </w:r>
          </w:p>
        </w:tc>
        <w:tc>
          <w:tcPr/>
          <w:p>
            <w:pPr>
              <w:pStyle w:val="Compact"/>
              <w:jc w:val="left"/>
            </w:pPr>
            <w:r>
              <w:t xml:space="preserve">As needed</w:t>
            </w:r>
          </w:p>
        </w:tc>
        <w:tc>
          <w:tcPr/>
          <w:p>
            <w:pPr>
              <w:pStyle w:val="Compact"/>
              <w:jc w:val="left"/>
            </w:pPr>
            <w:r>
              <w:t xml:space="preserve">1,800.00</w:t>
            </w:r>
          </w:p>
        </w:tc>
        <w:tc>
          <w:tcPr/>
          <w:p>
            <w:pPr>
              <w:pStyle w:val="Compact"/>
              <w:jc w:val="left"/>
            </w:pPr>
            <w:r>
              <w:t xml:space="preserve">5,400.00</w:t>
            </w:r>
          </w:p>
        </w:tc>
        <w:tc>
          <w:tcPr/>
          <w:p>
            <w:pPr>
              <w:pStyle w:val="Compact"/>
              <w:jc w:val="left"/>
            </w:pPr>
            <w:r>
              <w:t xml:space="preserve">First 3 visits covered</w:t>
            </w:r>
          </w:p>
        </w:tc>
      </w:tr>
      <w:tr>
        <w:tc>
          <w:tcPr/>
          <w:p>
            <w:pPr>
              <w:pStyle w:val="Compact"/>
              <w:jc w:val="left"/>
            </w:pPr>
            <w:r>
              <w:t xml:space="preserve">10</w:t>
            </w:r>
          </w:p>
        </w:tc>
        <w:tc>
          <w:tcPr/>
          <w:p>
            <w:pPr>
              <w:pStyle w:val="Compact"/>
              <w:jc w:val="left"/>
            </w:pPr>
            <w:r>
              <w:t xml:space="preserve">Final Panoramic X-ray &amp; Post-Treatment Records</w:t>
            </w:r>
          </w:p>
        </w:tc>
        <w:tc>
          <w:tcPr/>
          <w:p>
            <w:pPr>
              <w:pStyle w:val="Compact"/>
              <w:jc w:val="left"/>
            </w:pPr>
            <w:r>
              <w:t xml:space="preserve">One-time</w:t>
            </w:r>
          </w:p>
        </w:tc>
        <w:tc>
          <w:tcPr/>
          <w:p>
            <w:pPr>
              <w:pStyle w:val="Compact"/>
              <w:jc w:val="left"/>
            </w:pPr>
            <w:r>
              <w:t xml:space="preserve">2,000.00</w:t>
            </w:r>
          </w:p>
        </w:tc>
        <w:tc>
          <w:tcPr/>
          <w:p>
            <w:pPr>
              <w:pStyle w:val="Compact"/>
              <w:jc w:val="left"/>
            </w:pPr>
            <w:r>
              <w:t xml:space="preserve">2,000.00</w:t>
            </w:r>
          </w:p>
        </w:tc>
        <w:tc>
          <w:tcPr/>
          <w:p>
            <w:pPr>
              <w:pStyle w:val="Compact"/>
              <w:jc w:val="left"/>
            </w:pPr>
            <w:r>
              <w:t xml:space="preserve">For treatment documentation</w:t>
            </w:r>
          </w:p>
        </w:tc>
      </w:tr>
      <w:tr>
        <w:tc>
          <w:tcPr>
            <w:gridSpan w:val="4"/>
          </w:tcPr>
          <w:p>
            <w:pPr>
              <w:pStyle w:val="Compact"/>
              <w:jc w:val="left"/>
            </w:pPr>
            <w:r>
              <w:t xml:space="preserve">GRAND TOTAL (Quotation Estimate)</w:t>
            </w:r>
          </w:p>
        </w:tc>
        <w:tc>
          <w:tcPr/>
          <w:p>
            <w:pPr>
              <w:pStyle w:val="Compact"/>
              <w:jc w:val="left"/>
            </w:pPr>
            <w:r>
              <w:t xml:space="preserve">ETB 147,000.00</w:t>
            </w:r>
          </w:p>
        </w:tc>
        <w:tc>
          <w:tcPr/>
          <w:p>
            <w:pPr>
              <w:pStyle w:val="Compact"/>
            </w:pPr>
          </w:p>
        </w:tc>
      </w:tr>
    </w:tbl>
    <w:p>
      <w:pPr>
        <w:pStyle w:val="BodyText"/>
      </w:pPr>
      <w:r>
        <w:rPr>
          <w:bCs/>
          <w:b/>
        </w:rPr>
        <w:t xml:space="preserve">Important Note:</w:t>
      </w:r>
      <w:r>
        <w:t xml:space="preserve"> </w:t>
      </w:r>
      <w:r>
        <w:t xml:space="preserve">This Quotation Estimate is prepared specifically for the patient named above and reflects the current fee schedule of our Orthodontist practice in Ethiopia Addis Ababa. Prices are subject to revision based on material cost fluctuations, particularly for imported orthodontic components. The total amount is an estimate and may vary by up to 10% depending on clinical findings during active treatment.</w:t>
      </w:r>
    </w:p>
    <w:bookmarkEnd w:id="25"/>
    <w:bookmarkStart w:id="26" w:name="payment-terms-conditions"/>
    <w:p>
      <w:pPr>
        <w:pStyle w:val="Heading2"/>
      </w:pPr>
      <w:r>
        <w:t xml:space="preserve">Payment Terms &amp; Conditions</w:t>
      </w:r>
    </w:p>
    <w:p>
      <w:pPr>
        <w:numPr>
          <w:ilvl w:val="0"/>
          <w:numId w:val="1001"/>
        </w:numPr>
        <w:pStyle w:val="Compact"/>
      </w:pPr>
      <w:r>
        <w:rPr>
          <w:bCs/>
          <w:b/>
        </w:rPr>
        <w:t xml:space="preserve">Deposit:</w:t>
      </w:r>
      <w:r>
        <w:t xml:space="preserve"> </w:t>
      </w:r>
      <w:r>
        <w:t xml:space="preserve">A non-refundable deposit of 30% (ETB 44,100.00) is required to schedule the initial treatment appointment and reserve the Orthodontist's calendar.</w:t>
      </w:r>
    </w:p>
    <w:p>
      <w:pPr>
        <w:numPr>
          <w:ilvl w:val="0"/>
          <w:numId w:val="1001"/>
        </w:numPr>
        <w:pStyle w:val="Compact"/>
      </w:pPr>
      <w:r>
        <w:rPr>
          <w:bCs/>
          <w:b/>
        </w:rPr>
        <w:t xml:space="preserve">Installment Plan:</w:t>
      </w:r>
      <w:r>
        <w:t xml:space="preserve"> </w:t>
      </w:r>
      <w:r>
        <w:t xml:space="preserve">The remaining balance may be paid in equal monthly installments over the duration of active treatment (24 months). No interest is charged on the installment plan.</w:t>
      </w:r>
    </w:p>
    <w:p>
      <w:pPr>
        <w:numPr>
          <w:ilvl w:val="0"/>
          <w:numId w:val="1001"/>
        </w:numPr>
        <w:pStyle w:val="Compact"/>
      </w:pPr>
      <w:r>
        <w:rPr>
          <w:bCs/>
          <w:b/>
        </w:rPr>
        <w:t xml:space="preserve">Payment Methods:</w:t>
      </w:r>
      <w:r>
        <w:t xml:space="preserve"> </w:t>
      </w:r>
      <w:r>
        <w:t xml:space="preserve">Cash, bank transfer (CBE, Awash Bank, Dashen Bank), or mobile money (Telebirr, M-Pesa Ethiopia) are accepted at our clinic in Addis Ababa.</w:t>
      </w:r>
    </w:p>
    <w:p>
      <w:pPr>
        <w:numPr>
          <w:ilvl w:val="0"/>
          <w:numId w:val="1001"/>
        </w:numPr>
        <w:pStyle w:val="Compact"/>
      </w:pPr>
      <w:r>
        <w:rPr>
          <w:bCs/>
          <w:b/>
        </w:rPr>
        <w:t xml:space="preserve">Validity:</w:t>
      </w:r>
      <w:r>
        <w:t xml:space="preserve"> </w:t>
      </w:r>
      <w:r>
        <w:t xml:space="preserve">This Quotation Estimate is valid for 30 calendar days from the date of issue. After expiry, a revised estimate reflecting any changes in material costs will be provided.</w:t>
      </w:r>
    </w:p>
    <w:p>
      <w:pPr>
        <w:numPr>
          <w:ilvl w:val="0"/>
          <w:numId w:val="1001"/>
        </w:numPr>
        <w:pStyle w:val="Compact"/>
      </w:pPr>
      <w:r>
        <w:rPr>
          <w:bCs/>
          <w:b/>
        </w:rPr>
        <w:t xml:space="preserve">Cancellation Policy:</w:t>
      </w:r>
      <w:r>
        <w:t xml:space="preserve"> </w:t>
      </w:r>
      <w:r>
        <w:t xml:space="preserve">Should the patient decide to discontinue treatment after the initial consultation, the deposit is non-refundable. If treatment is discontinued after bracket placement, 50% of the total Quotation Estimate amount is non-refundable.</w:t>
      </w:r>
    </w:p>
    <w:p>
      <w:pPr>
        <w:numPr>
          <w:ilvl w:val="0"/>
          <w:numId w:val="1001"/>
        </w:numPr>
        <w:pStyle w:val="Compact"/>
      </w:pPr>
      <w:r>
        <w:rPr>
          <w:bCs/>
          <w:b/>
        </w:rPr>
        <w:t xml:space="preserve">Warranty:</w:t>
      </w:r>
      <w:r>
        <w:t xml:space="preserve"> </w:t>
      </w:r>
      <w:r>
        <w:t xml:space="preserve">The Orthodontist guarantees the integrity of all bonded brackets and wires for 12 months from placement, excluding damage caused by patient negligence (e.g., biting hard objects, sports-related trauma).</w:t>
      </w:r>
    </w:p>
    <w:p>
      <w:pPr>
        <w:numPr>
          <w:ilvl w:val="0"/>
          <w:numId w:val="1001"/>
        </w:numPr>
        <w:pStyle w:val="Compact"/>
      </w:pPr>
      <w:r>
        <w:rPr>
          <w:bCs/>
          <w:b/>
        </w:rPr>
        <w:t xml:space="preserve">Confidentiality:</w:t>
      </w:r>
      <w:r>
        <w:t xml:space="preserve"> </w:t>
      </w:r>
      <w:r>
        <w:t xml:space="preserve">All patient records, radiographs, and treatment plans are maintained in strict accordance with Ethiopian medical privacy regulations. No information will be shared without written consent.</w:t>
      </w:r>
    </w:p>
    <w:p>
      <w:pPr>
        <w:numPr>
          <w:ilvl w:val="0"/>
          <w:numId w:val="1001"/>
        </w:numPr>
        <w:pStyle w:val="Compact"/>
      </w:pPr>
      <w:r>
        <w:rPr>
          <w:bCs/>
          <w:b/>
        </w:rPr>
        <w:t xml:space="preserve">Location:</w:t>
      </w:r>
      <w:r>
        <w:t xml:space="preserve"> </w:t>
      </w:r>
      <w:r>
        <w:t xml:space="preserve">All services described in this Quotation Estimate will be performed at our clinic located on Bole Road, Addis Ababa, Ethiopia. The clinic operates Monday through Saturday, 8:00 AM to 6:00 PM.</w:t>
      </w:r>
    </w:p>
    <w:bookmarkEnd w:id="26"/>
    <w:bookmarkStart w:id="27" w:name="acceptance-authorization"/>
    <w:p>
      <w:pPr>
        <w:pStyle w:val="Heading2"/>
      </w:pPr>
      <w:r>
        <w:t xml:space="preserve">Acceptance &amp; Authorization</w:t>
      </w:r>
    </w:p>
    <w:p>
      <w:pPr>
        <w:pStyle w:val="FirstParagraph"/>
      </w:pPr>
      <w:r>
        <w:t xml:space="preserve">By signing below, the patient acknowledges receipt of this Quotation Estimate for Orthodontist services in Ethiopia Addis Ababa and agrees to the terms and conditions outlined above. The patient confirms that the proposed treatment plan has been explained in understandable terms and that all questions have been satisfactorily answered by the treating Orthodontist.</w:t>
      </w:r>
    </w:p>
    <w:p>
      <w:pPr>
        <w:pStyle w:val="BodyText"/>
      </w:pPr>
      <w:r>
        <w:rPr>
          <w:bCs/>
          <w:b/>
        </w:rPr>
        <w:t xml:space="preserve">Patient Signature</w:t>
      </w:r>
      <w:r>
        <w:br/>
      </w:r>
      <w:r>
        <w:t xml:space="preserve">Name: Tesfaye Alemu</w:t>
      </w:r>
      <w:r>
        <w:br/>
      </w:r>
      <w:r>
        <w:t xml:space="preserve">Date: _______________</w:t>
      </w:r>
    </w:p>
    <w:p>
      <w:pPr>
        <w:pStyle w:val="BodyText"/>
      </w:pPr>
      <w:r>
        <w:rPr>
          <w:bCs/>
          <w:b/>
        </w:rPr>
        <w:t xml:space="preserve">Orthodontist / Provider Signature</w:t>
      </w:r>
      <w:r>
        <w:br/>
      </w:r>
      <w:r>
        <w:t xml:space="preserve">Name: Dr. Selamawit Bekele, DDS, MS</w:t>
      </w:r>
      <w:r>
        <w:br/>
      </w:r>
      <w:r>
        <w:t xml:space="preserve">License No: ETH-ORTHO-2019-0087</w:t>
      </w:r>
      <w:r>
        <w:br/>
      </w:r>
      <w:r>
        <w:t xml:space="preserve">Date: _______________</w:t>
      </w:r>
    </w:p>
    <w:p>
      <w:pPr>
        <w:pStyle w:val="BodyText"/>
      </w:pPr>
      <w:r>
        <w:t xml:space="preserve">Addis Ababa Smile Orthodontic Center • Bole Road, Addis Ababa, Ethiopia • Tel: +251-11-555-0142</w:t>
      </w:r>
    </w:p>
    <w:p>
      <w:pPr>
        <w:pStyle w:val="BodyText"/>
      </w:pPr>
      <w:r>
        <w:t xml:space="preserve">This Quotation Estimate document is generated electronically and is valid without a physical stamp. For any inquiries regarding this estimate, please contact our front desk during business hours.</w:t>
      </w:r>
    </w:p>
    <w:p>
      <w:pPr>
        <w:pStyle w:val="BodyText"/>
      </w:pPr>
      <w:r>
        <w:t xml:space="preserve">© 2025 Addis Ababa Smile Orthodontic Center.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Ethiopia Addis Ababa</dc:title>
  <dc:creator/>
  <dc:language>en</dc:language>
  <cp:keywords/>
  <dcterms:created xsi:type="dcterms:W3CDTF">2026-10-10T08:37:44Z</dcterms:created>
  <dcterms:modified xsi:type="dcterms:W3CDTF">2026-10-10T08:37:44Z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