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Paris,</w:t>
      </w:r>
      <w:r>
        <w:t xml:space="preserve"> </w:t>
      </w:r>
      <w:r>
        <w:t xml:space="preserve">France</w:t>
      </w:r>
    </w:p>
    <w:bookmarkStart w:id="20" w:name="quotation-estimate"/>
    <w:p>
      <w:pPr>
        <w:pStyle w:val="Heading1"/>
      </w:pPr>
      <w:r>
        <w:t xml:space="preserve">Quotation Estimate</w:t>
      </w:r>
    </w:p>
    <w:p>
      <w:pPr>
        <w:pStyle w:val="FirstParagraph"/>
      </w:pPr>
      <w:r>
        <w:t xml:space="preserve">Orthodontic Treatment Plan &amp; Financial Estimate</w:t>
      </w:r>
    </w:p>
    <w:p>
      <w:pPr>
        <w:pStyle w:val="BodyText"/>
      </w:pPr>
      <w:r>
        <w:t xml:space="preserve">Ref: QTE-2025-0847</w:t>
      </w:r>
      <w:r>
        <w:t xml:space="preserve"> </w:t>
      </w:r>
      <w:r>
        <w:t xml:space="preserve"> </w:t>
      </w:r>
      <w:r>
        <w:t xml:space="preserve"> </w:t>
      </w:r>
      <w:r>
        <w:t xml:space="preserve">Valid: 60 Days</w:t>
      </w:r>
    </w:p>
    <w:bookmarkEnd w:id="20"/>
    <w:p>
      <w:pPr>
        <w:pStyle w:val="BodyText"/>
      </w:pPr>
      <w:r>
        <w:rPr>
          <w:bCs/>
          <w:b/>
        </w:rPr>
        <w:t xml:space="preserve">Dr. Élise Moreau, DMD, Orthodontist</w:t>
      </w:r>
      <w:r>
        <w:br/>
      </w:r>
      <w:r>
        <w:t xml:space="preserve">Cabinet d'Orthodontie du 8e</w:t>
      </w:r>
      <w:r>
        <w:br/>
      </w:r>
      <w:r>
        <w:t xml:space="preserve">24 Rue de la Boétie, 75008 Paris, France</w:t>
      </w:r>
      <w:r>
        <w:br/>
      </w:r>
      <w:r>
        <w:t xml:space="preserve">Tel: +33 (0)1 42 65 89 34</w:t>
      </w:r>
      <w:r>
        <w:br/>
      </w:r>
      <w:r>
        <w:t xml:space="preserve">Email: contact@orthodontie-boetie.fr</w:t>
      </w:r>
      <w:r>
        <w:br/>
      </w:r>
      <w:r>
        <w:t xml:space="preserve">SIRET: 842 567 891 00012</w:t>
      </w:r>
      <w:r>
        <w:br/>
      </w:r>
      <w:r>
        <w:t xml:space="preserve">RPPS: 1010084567</w:t>
      </w:r>
    </w:p>
    <w:p>
      <w:pPr>
        <w:pStyle w:val="BodyText"/>
      </w:pPr>
      <w:r>
        <w:rPr>
          <w:bCs/>
          <w:b/>
        </w:rPr>
        <w:t xml:space="preserve">Quotation Estimate Date:</w:t>
      </w:r>
      <w:r>
        <w:t xml:space="preserve"> </w:t>
      </w:r>
      <w:r>
        <w:t xml:space="preserve">14 June 2025</w:t>
      </w:r>
      <w:r>
        <w:br/>
      </w:r>
      <w:r>
        <w:rPr>
          <w:bCs/>
          <w:b/>
        </w:rPr>
        <w:t xml:space="preserve">Quotation Estimate No.:</w:t>
      </w:r>
      <w:r>
        <w:t xml:space="preserve"> </w:t>
      </w:r>
      <w:r>
        <w:t xml:space="preserve">QTE-2025-0847</w:t>
      </w:r>
      <w:r>
        <w:br/>
      </w:r>
      <w:r>
        <w:rPr>
          <w:bCs/>
          <w:b/>
        </w:rPr>
        <w:t xml:space="preserve">Prepared For:</w:t>
      </w:r>
      <w:r>
        <w:t xml:space="preserve"> </w:t>
      </w:r>
      <w:r>
        <w:t xml:space="preserve">Mr. James A. Whitfield</w:t>
      </w:r>
      <w:r>
        <w:br/>
      </w:r>
      <w:r>
        <w:rPr>
          <w:bCs/>
          <w:b/>
        </w:rPr>
        <w:t xml:space="preserve">Address:</w:t>
      </w:r>
      <w:r>
        <w:t xml:space="preserve"> </w:t>
      </w:r>
      <w:r>
        <w:t xml:space="preserve">12 Avenue Montaigne, 75008 Paris, France</w:t>
      </w:r>
      <w:r>
        <w:br/>
      </w:r>
      <w:r>
        <w:rPr>
          <w:bCs/>
          <w:b/>
        </w:rPr>
        <w:t xml:space="preserve">SSN (NIR):</w:t>
      </w:r>
      <w:r>
        <w:t xml:space="preserve"> </w:t>
      </w:r>
      <w:r>
        <w:t xml:space="preserve">1 85 03 75 123 456 78</w:t>
      </w:r>
      <w:r>
        <w:br/>
      </w:r>
      <w:r>
        <w:rPr>
          <w:bCs/>
          <w:b/>
        </w:rPr>
        <w:t xml:space="preserve">Insurance:</w:t>
      </w:r>
      <w:r>
        <w:t xml:space="preserve"> </w:t>
      </w:r>
      <w:r>
        <w:t xml:space="preserve">Caisse Primaire d'Assurance Maladie (CPAM)</w:t>
      </w:r>
    </w:p>
    <w:bookmarkStart w:id="21" w:name="patient-assessment-summary"/>
    <w:p>
      <w:pPr>
        <w:pStyle w:val="Heading2"/>
      </w:pPr>
      <w:r>
        <w:t xml:space="preserve">1. Patient Assessment Summary</w:t>
      </w:r>
    </w:p>
    <w:p>
      <w:pPr>
        <w:pStyle w:val="FirstParagraph"/>
      </w:pPr>
      <w:r>
        <w:t xml:space="preserve">Following a comprehensive clinical examination and radiographic analysis (panoramic X-ray, cephalometric tracing, and intraoral digital impressions) conducted on 10 June 2025 at our Orthodontist practice in the 8th arrondissement of Paris, France, the following diagnosis has been established for Mr. James A. Whitfield, aged 34 years:</w:t>
      </w:r>
    </w:p>
    <w:p>
      <w:pPr>
        <w:numPr>
          <w:ilvl w:val="0"/>
          <w:numId w:val="1001"/>
        </w:numPr>
        <w:pStyle w:val="Compact"/>
      </w:pPr>
      <w:r>
        <w:t xml:space="preserve">Class II malocclusion with a 6 mm overjet</w:t>
      </w:r>
    </w:p>
    <w:p>
      <w:pPr>
        <w:numPr>
          <w:ilvl w:val="0"/>
          <w:numId w:val="1001"/>
        </w:numPr>
        <w:pStyle w:val="Compact"/>
      </w:pPr>
      <w:r>
        <w:t xml:space="preserve">Moderate crowding in the upper and lower anterior segments (approximately 4 mm)</w:t>
      </w:r>
    </w:p>
    <w:p>
      <w:pPr>
        <w:numPr>
          <w:ilvl w:val="0"/>
          <w:numId w:val="1001"/>
        </w:numPr>
        <w:pStyle w:val="Compact"/>
      </w:pPr>
      <w:r>
        <w:t xml:space="preserve">Mild midline deviation of the lower dental arch</w:t>
      </w:r>
    </w:p>
    <w:p>
      <w:pPr>
        <w:numPr>
          <w:ilvl w:val="0"/>
          <w:numId w:val="1001"/>
        </w:numPr>
        <w:pStyle w:val="Compact"/>
      </w:pPr>
      <w:r>
        <w:t xml:space="preserve">Normal periodontal health confirmed by periodontal screening</w:t>
      </w:r>
    </w:p>
    <w:p>
      <w:pPr>
        <w:numPr>
          <w:ilvl w:val="0"/>
          <w:numId w:val="1001"/>
        </w:numPr>
        <w:pStyle w:val="Compact"/>
      </w:pPr>
      <w:r>
        <w:t xml:space="preserve">No contraindications to fixed orthodontic appliance therapy</w:t>
      </w:r>
    </w:p>
    <w:p>
      <w:pPr>
        <w:pStyle w:val="FirstParagraph"/>
      </w:pPr>
      <w:r>
        <w:t xml:space="preserve">This Quotation Estimate has been prepared by the treating Orthodontist to provide a transparent and detailed financial breakdown of the recommended treatment plan. All pricing reflects current 2025 fee schedules applicable to private orthodontic practices in France Paris and the Île-de-France region.</w:t>
      </w:r>
    </w:p>
    <w:bookmarkEnd w:id="21"/>
    <w:bookmarkStart w:id="22" w:name="Xb119628ac4f56c468569f57e271f2305a0a9b25"/>
    <w:p>
      <w:pPr>
        <w:pStyle w:val="Heading2"/>
      </w:pPr>
      <w:r>
        <w:t xml:space="preserve">2. Recommended Treatment Plan &amp;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CPAM Reimbursement</w:t>
            </w:r>
          </w:p>
        </w:tc>
      </w:tr>
      <w:tr>
        <w:tc>
          <w:tcPr/>
          <w:p>
            <w:pPr>
              <w:pStyle w:val="Compact"/>
              <w:jc w:val="left"/>
            </w:pPr>
            <w:r>
              <w:t xml:space="preserve">01</w:t>
            </w:r>
          </w:p>
        </w:tc>
        <w:tc>
          <w:tcPr/>
          <w:p>
            <w:pPr>
              <w:pStyle w:val="Compact"/>
              <w:jc w:val="left"/>
            </w:pPr>
            <w:r>
              <w:t xml:space="preserve">Initial consultation, clinical examination, and diagnostic records (X-rays, photographs, digital scans)</w:t>
            </w:r>
          </w:p>
        </w:tc>
        <w:tc>
          <w:tcPr/>
          <w:p>
            <w:pPr>
              <w:pStyle w:val="Compact"/>
              <w:jc w:val="left"/>
            </w:pPr>
            <w:r>
              <w:t xml:space="preserve">One-time</w:t>
            </w:r>
          </w:p>
        </w:tc>
        <w:tc>
          <w:tcPr/>
          <w:p>
            <w:pPr>
              <w:pStyle w:val="Compact"/>
              <w:jc w:val="left"/>
            </w:pPr>
            <w:r>
              <w:t xml:space="preserve">€ 180.00</w:t>
            </w:r>
          </w:p>
        </w:tc>
        <w:tc>
          <w:tcPr/>
          <w:p>
            <w:pPr>
              <w:pStyle w:val="Compact"/>
              <w:jc w:val="left"/>
            </w:pPr>
            <w:r>
              <w:t xml:space="preserve">€ 180.00</w:t>
            </w:r>
          </w:p>
        </w:tc>
        <w:tc>
          <w:tcPr/>
          <w:p>
            <w:pPr>
              <w:pStyle w:val="Compact"/>
              <w:jc w:val="left"/>
            </w:pPr>
            <w:r>
              <w:t xml:space="preserve">€ 0.00</w:t>
            </w:r>
          </w:p>
        </w:tc>
      </w:tr>
      <w:tr>
        <w:tc>
          <w:tcPr/>
          <w:p>
            <w:pPr>
              <w:pStyle w:val="Compact"/>
              <w:jc w:val="left"/>
            </w:pPr>
            <w:r>
              <w:t xml:space="preserve">02</w:t>
            </w:r>
          </w:p>
        </w:tc>
        <w:tc>
          <w:tcPr/>
          <w:p>
            <w:pPr>
              <w:pStyle w:val="Compact"/>
              <w:jc w:val="left"/>
            </w:pPr>
            <w:r>
              <w:t xml:space="preserve">Placement of fixed ceramic (invisible) brackets – upper and lower arches (32 brackets total)</w:t>
            </w:r>
          </w:p>
        </w:tc>
        <w:tc>
          <w:tcPr/>
          <w:p>
            <w:pPr>
              <w:pStyle w:val="Compact"/>
              <w:jc w:val="left"/>
            </w:pPr>
            <w:r>
              <w:t xml:space="preserve">One-time</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€ 0.00</w:t>
            </w:r>
          </w:p>
        </w:tc>
      </w:tr>
      <w:tr>
        <w:tc>
          <w:tcPr/>
          <w:p>
            <w:pPr>
              <w:pStyle w:val="Compact"/>
              <w:jc w:val="left"/>
            </w:pPr>
            <w:r>
              <w:t xml:space="preserve">03</w:t>
            </w:r>
          </w:p>
        </w:tc>
        <w:tc>
          <w:tcPr/>
          <w:p>
            <w:pPr>
              <w:pStyle w:val="Compact"/>
              <w:jc w:val="left"/>
            </w:pPr>
            <w:r>
              <w:t xml:space="preserve">Custom orthodontic archwires, ligatures, and elastics (full treatment duration)</w:t>
            </w:r>
          </w:p>
        </w:tc>
        <w:tc>
          <w:tcPr/>
          <w:p>
            <w:pPr>
              <w:pStyle w:val="Compact"/>
              <w:jc w:val="left"/>
            </w:pPr>
            <w:r>
              <w:t xml:space="preserve">One-time</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€ 0.00</w:t>
            </w:r>
          </w:p>
        </w:tc>
      </w:tr>
      <w:tr>
        <w:tc>
          <w:tcPr/>
          <w:p>
            <w:pPr>
              <w:pStyle w:val="Compact"/>
              <w:jc w:val="left"/>
            </w:pPr>
            <w:r>
              <w:t xml:space="preserve">04</w:t>
            </w:r>
          </w:p>
        </w:tc>
        <w:tc>
          <w:tcPr/>
          <w:p>
            <w:pPr>
              <w:pStyle w:val="Compact"/>
              <w:jc w:val="left"/>
            </w:pPr>
            <w:r>
              <w:t xml:space="preserve">Monthly adjustment and monitoring appointments (estimated 18-month treatment)</w:t>
            </w:r>
          </w:p>
        </w:tc>
        <w:tc>
          <w:tcPr/>
          <w:p>
            <w:pPr>
              <w:pStyle w:val="Compact"/>
              <w:jc w:val="left"/>
            </w:pPr>
            <w:r>
              <w:t xml:space="preserve">18 sessions</w:t>
            </w:r>
          </w:p>
        </w:tc>
        <w:tc>
          <w:tcPr/>
          <w:p>
            <w:pPr>
              <w:pStyle w:val="Compact"/>
              <w:jc w:val="left"/>
            </w:pPr>
            <w:r>
              <w:t xml:space="preserve">€ 95.00</w:t>
            </w:r>
          </w:p>
        </w:tc>
        <w:tc>
          <w:tcPr/>
          <w:p>
            <w:pPr>
              <w:pStyle w:val="Compact"/>
              <w:jc w:val="left"/>
            </w:pPr>
            <w:r>
              <w:t xml:space="preserve">€ 1,710.00</w:t>
            </w:r>
          </w:p>
        </w:tc>
        <w:tc>
          <w:tcPr/>
          <w:p>
            <w:pPr>
              <w:pStyle w:val="Compact"/>
              <w:jc w:val="left"/>
            </w:pPr>
            <w:r>
              <w:t xml:space="preserve">€ 0.00</w:t>
            </w:r>
          </w:p>
        </w:tc>
      </w:tr>
      <w:tr>
        <w:tc>
          <w:tcPr/>
          <w:p>
            <w:pPr>
              <w:pStyle w:val="Compact"/>
              <w:jc w:val="left"/>
            </w:pPr>
            <w:r>
              <w:t xml:space="preserve">05</w:t>
            </w:r>
          </w:p>
        </w:tc>
        <w:tc>
          <w:tcPr/>
          <w:p>
            <w:pPr>
              <w:pStyle w:val="Compact"/>
              <w:jc w:val="left"/>
            </w:pPr>
            <w:r>
              <w:t xml:space="preserve">Interproximal reduction (IPR) / enameloplasty for space creation</w:t>
            </w:r>
          </w:p>
        </w:tc>
        <w:tc>
          <w:tcPr/>
          <w:p>
            <w:pPr>
              <w:pStyle w:val="Compact"/>
              <w:jc w:val="left"/>
            </w:pPr>
            <w:r>
              <w:t xml:space="preserve">One-time</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€ 0.00</w:t>
            </w:r>
          </w:p>
        </w:tc>
      </w:tr>
      <w:tr>
        <w:tc>
          <w:tcPr/>
          <w:p>
            <w:pPr>
              <w:pStyle w:val="Compact"/>
              <w:jc w:val="left"/>
            </w:pPr>
            <w:r>
              <w:t xml:space="preserve">06</w:t>
            </w:r>
          </w:p>
        </w:tc>
        <w:tc>
          <w:tcPr/>
          <w:p>
            <w:pPr>
              <w:pStyle w:val="Compact"/>
              <w:jc w:val="left"/>
            </w:pPr>
            <w:r>
              <w:t xml:space="preserve">Removable retention appliances (upper and lower Essix retainers)</w:t>
            </w:r>
          </w:p>
        </w:tc>
        <w:tc>
          <w:tcPr/>
          <w:p>
            <w:pPr>
              <w:pStyle w:val="Compact"/>
              <w:jc w:val="left"/>
            </w:pPr>
            <w:r>
              <w:t xml:space="preserve">One-time</w:t>
            </w:r>
          </w:p>
        </w:tc>
        <w:tc>
          <w:tcPr/>
          <w:p>
            <w:pPr>
              <w:pStyle w:val="Compact"/>
              <w:jc w:val="left"/>
            </w:pPr>
            <w:r>
              <w:t xml:space="preserve">€ 380.00</w:t>
            </w:r>
          </w:p>
        </w:tc>
        <w:tc>
          <w:tcPr/>
          <w:p>
            <w:pPr>
              <w:pStyle w:val="Compact"/>
              <w:jc w:val="left"/>
            </w:pPr>
            <w:r>
              <w:t xml:space="preserve">€ 380.00</w:t>
            </w:r>
          </w:p>
        </w:tc>
        <w:tc>
          <w:tcPr/>
          <w:p>
            <w:pPr>
              <w:pStyle w:val="Compact"/>
              <w:jc w:val="left"/>
            </w:pPr>
            <w:r>
              <w:t xml:space="preserve">€ 0.00</w:t>
            </w:r>
          </w:p>
        </w:tc>
      </w:tr>
      <w:tr>
        <w:tc>
          <w:tcPr/>
          <w:p>
            <w:pPr>
              <w:pStyle w:val="Compact"/>
              <w:jc w:val="left"/>
            </w:pPr>
            <w:r>
              <w:t xml:space="preserve">07</w:t>
            </w:r>
          </w:p>
        </w:tc>
        <w:tc>
          <w:tcPr/>
          <w:p>
            <w:pPr>
              <w:pStyle w:val="Compact"/>
              <w:jc w:val="left"/>
            </w:pPr>
            <w:r>
              <w:t xml:space="preserve">Post-treatment retention check-ups (annual, 3-year period)</w:t>
            </w:r>
          </w:p>
        </w:tc>
        <w:tc>
          <w:tcPr/>
          <w:p>
            <w:pPr>
              <w:pStyle w:val="Compact"/>
              <w:jc w:val="left"/>
            </w:pPr>
            <w:r>
              <w:t xml:space="preserve">3 sessions</w:t>
            </w:r>
          </w:p>
        </w:tc>
        <w:tc>
          <w:tcPr/>
          <w:p>
            <w:pPr>
              <w:pStyle w:val="Compact"/>
              <w:jc w:val="left"/>
            </w:pPr>
            <w:r>
              <w:t xml:space="preserve">€ 70.00</w:t>
            </w:r>
          </w:p>
        </w:tc>
        <w:tc>
          <w:tcPr/>
          <w:p>
            <w:pPr>
              <w:pStyle w:val="Compact"/>
              <w:jc w:val="left"/>
            </w:pPr>
            <w:r>
              <w:t xml:space="preserve">€ 210.00</w:t>
            </w:r>
          </w:p>
        </w:tc>
        <w:tc>
          <w:tcPr/>
          <w:p>
            <w:pPr>
              <w:pStyle w:val="Compact"/>
              <w:jc w:val="left"/>
            </w:pPr>
            <w:r>
              <w:t xml:space="preserve">€ 0.00</w:t>
            </w:r>
          </w:p>
        </w:tc>
      </w:tr>
      <w:tr>
        <w:tc>
          <w:tcPr/>
          <w:p>
            <w:pPr>
              <w:pStyle w:val="Compact"/>
              <w:jc w:val="left"/>
            </w:pPr>
            <w:r>
              <w:t xml:space="preserve">08</w:t>
            </w:r>
          </w:p>
        </w:tc>
        <w:tc>
          <w:tcPr/>
          <w:p>
            <w:pPr>
              <w:pStyle w:val="Compact"/>
              <w:jc w:val="left"/>
            </w:pPr>
            <w:r>
              <w:t xml:space="preserve">Emergency re-cementation or wire adjustment (contingency allowance)</w:t>
            </w:r>
          </w:p>
        </w:tc>
        <w:tc>
          <w:tcPr/>
          <w:p>
            <w:pPr>
              <w:pStyle w:val="Compact"/>
              <w:jc w:val="left"/>
            </w:pPr>
            <w:r>
              <w:t xml:space="preserve">Up to 2 visits</w:t>
            </w:r>
          </w:p>
        </w:tc>
        <w:tc>
          <w:tcPr/>
          <w:p>
            <w:pPr>
              <w:pStyle w:val="Compact"/>
              <w:jc w:val="left"/>
            </w:pPr>
            <w:r>
              <w:t xml:space="preserve">€ 60.00</w:t>
            </w:r>
          </w:p>
        </w:tc>
        <w:tc>
          <w:tcPr/>
          <w:p>
            <w:pPr>
              <w:pStyle w:val="Compact"/>
              <w:jc w:val="left"/>
            </w:pPr>
            <w:r>
              <w:t xml:space="preserve">€ 120.00</w:t>
            </w:r>
          </w:p>
        </w:tc>
        <w:tc>
          <w:tcPr/>
          <w:p>
            <w:pPr>
              <w:pStyle w:val="Compact"/>
              <w:jc w:val="left"/>
            </w:pPr>
            <w:r>
              <w:t xml:space="preserve">€ 0.00</w:t>
            </w:r>
          </w:p>
        </w:tc>
      </w:tr>
      <w:tr>
        <w:tc>
          <w:tcPr>
            <w:gridSpan w:val="4"/>
          </w:tcPr>
          <w:p>
            <w:pPr>
              <w:pStyle w:val="Compact"/>
              <w:jc w:val="left"/>
            </w:pPr>
            <w:r>
              <w:rPr>
                <w:bCs/>
                <w:b/>
              </w:rPr>
              <w:t xml:space="preserve">TOTAL ESTIMATED COST (TTC – Taxe sur la Valeur Ajoutée incluse)</w:t>
            </w:r>
          </w:p>
        </w:tc>
        <w:tc>
          <w:tcPr/>
          <w:p>
            <w:pPr>
              <w:pStyle w:val="Compact"/>
              <w:jc w:val="left"/>
            </w:pPr>
            <w:r>
              <w:rPr>
                <w:bCs/>
                <w:b/>
              </w:rPr>
              <w:t xml:space="preserve">€ 6,640.00</w:t>
            </w:r>
          </w:p>
        </w:tc>
        <w:tc>
          <w:tcPr/>
          <w:p>
            <w:pPr>
              <w:pStyle w:val="Compact"/>
              <w:jc w:val="left"/>
            </w:pPr>
            <w:r>
              <w:rPr>
                <w:bCs/>
                <w:b/>
              </w:rPr>
              <w:t xml:space="preserve">€ 0.00</w:t>
            </w:r>
          </w:p>
        </w:tc>
      </w:tr>
    </w:tbl>
    <w:p>
      <w:pPr>
        <w:pStyle w:val="BodyText"/>
      </w:pPr>
      <w:r>
        <w:rPr>
          <w:bCs/>
          <w:b/>
        </w:rPr>
        <w:t xml:space="preserve">Note regarding French healthcare reimbursement:</w:t>
      </w:r>
      <w:r>
        <w:t xml:space="preserve"> </w:t>
      </w:r>
      <w:r>
        <w:t xml:space="preserve">Orthodontic treatment for adults (over 18 years) in France is not covered by the mandatory national health insurance (Sécurité Sociale / CPAM). The CPAM reimbursement column reflects the statutory entitlement, which is €0.00 for adult orthodontic care. However, many complementary health insurance plans (mutuelles) in France Paris offer partial coverage for adult orthodontics. Mr. Whitfield is advised to contact his mutuelle provider to confirm any applicable supplementary reimbursement before commencing treatment.</w:t>
      </w:r>
    </w:p>
    <w:bookmarkEnd w:id="22"/>
    <w:bookmarkStart w:id="23" w:name="payment-terms-conditions"/>
    <w:p>
      <w:pPr>
        <w:pStyle w:val="Heading2"/>
      </w:pPr>
      <w:r>
        <w:t xml:space="preserve">3. Payment Terms &amp; Conditions</w:t>
      </w:r>
    </w:p>
    <w:p>
      <w:pPr>
        <w:pStyle w:val="FirstParagraph"/>
      </w:pPr>
      <w:r>
        <w:t xml:space="preserve">This Quotation Estimate is valid for a period of sixty (60) calendar days from the date of issue. The Orthodontist practice reserves the right to revise fees in accordance with any changes to the national fee schedule (Convention Nationale) or local regulatory updates in France Paris.</w:t>
      </w:r>
    </w:p>
    <w:p>
      <w:pPr>
        <w:numPr>
          <w:ilvl w:val="0"/>
          <w:numId w:val="1002"/>
        </w:numPr>
        <w:pStyle w:val="Compact"/>
      </w:pPr>
      <w:r>
        <w:rPr>
          <w:bCs/>
          <w:b/>
        </w:rPr>
        <w:t xml:space="preserve">Payment Schedule:</w:t>
      </w:r>
      <w:r>
        <w:t xml:space="preserve"> </w:t>
      </w:r>
      <w:r>
        <w:t xml:space="preserve">The total amount of €6,640.00 may be settled in full upon placement of the appliance, or in three equal instalments of €2,213.33 (first instalment due at appliance placement, second at month 6, third at month 12). No interest is charged on instalment plans.</w:t>
      </w:r>
    </w:p>
    <w:p>
      <w:pPr>
        <w:numPr>
          <w:ilvl w:val="0"/>
          <w:numId w:val="1002"/>
        </w:numPr>
        <w:pStyle w:val="Compact"/>
      </w:pPr>
      <w:r>
        <w:rPr>
          <w:bCs/>
          <w:b/>
        </w:rPr>
        <w:t xml:space="preserve">Accepted Payment Methods:</w:t>
      </w:r>
      <w:r>
        <w:t xml:space="preserve"> </w:t>
      </w:r>
      <w:r>
        <w:t xml:space="preserve">Bank transfer (virement bancaire), credit/debit card (Visa, Mastercard, American Express), or cash. Cheques are accepted only for amounts below €500.00.</w:t>
      </w:r>
    </w:p>
    <w:p>
      <w:pPr>
        <w:numPr>
          <w:ilvl w:val="0"/>
          <w:numId w:val="1002"/>
        </w:numPr>
        <w:pStyle w:val="Compact"/>
      </w:pPr>
      <w:r>
        <w:rPr>
          <w:bCs/>
          <w:b/>
        </w:rPr>
        <w:t xml:space="preserve">Cancellation Policy:</w:t>
      </w:r>
      <w:r>
        <w:t xml:space="preserve"> </w:t>
      </w:r>
      <w:r>
        <w:t xml:space="preserve">Appointments cancelled with less than 48 hours' notice will be subject to a fee of €50.00. Cancellation of the entire treatment after appliance placement will not be refundable for work already performed.</w:t>
      </w:r>
    </w:p>
    <w:p>
      <w:pPr>
        <w:numPr>
          <w:ilvl w:val="0"/>
          <w:numId w:val="1002"/>
        </w:numPr>
        <w:pStyle w:val="Compact"/>
      </w:pPr>
      <w:r>
        <w:rPr>
          <w:bCs/>
          <w:b/>
        </w:rPr>
        <w:t xml:space="preserve">Warranty:</w:t>
      </w:r>
      <w:r>
        <w:t xml:space="preserve"> </w:t>
      </w:r>
      <w:r>
        <w:t xml:space="preserve">The Orthodontist guarantees the integrity of all brackets and wires for the duration of active treatment. Accidental damage caused by the patient (e.g., biting hard objects, sports-related trauma) will be billed at the standard re-cementation rate of €60.00 per incident.</w:t>
      </w:r>
    </w:p>
    <w:p>
      <w:pPr>
        <w:numPr>
          <w:ilvl w:val="0"/>
          <w:numId w:val="1002"/>
        </w:numPr>
        <w:pStyle w:val="Compact"/>
      </w:pPr>
      <w:r>
        <w:rPr>
          <w:bCs/>
          <w:b/>
        </w:rPr>
        <w:t xml:space="preserve">Confidentiality:</w:t>
      </w:r>
      <w:r>
        <w:t xml:space="preserve"> </w:t>
      </w:r>
      <w:r>
        <w:t xml:space="preserve">All patient data is processed in strict compliance with the French Data Protection Act (Loi Informatique et Libertés) and the European General Data Protection Regulation (GDPR). Records are retained for a minimum of ten (10) years as required by French medical law.</w:t>
      </w:r>
    </w:p>
    <w:p>
      <w:pPr>
        <w:numPr>
          <w:ilvl w:val="0"/>
          <w:numId w:val="1002"/>
        </w:numPr>
        <w:pStyle w:val="Compact"/>
      </w:pPr>
      <w:r>
        <w:rPr>
          <w:bCs/>
          <w:b/>
        </w:rPr>
        <w:t xml:space="preserve">Dispute Resolution:</w:t>
      </w:r>
      <w:r>
        <w:t xml:space="preserve"> </w:t>
      </w:r>
      <w:r>
        <w:t xml:space="preserve">Any disagreement regarding this Quotation Estimate or the treatment provided shall be resolved in accordance with the Code de la Santé Publique. The patient may file a complaint with the Ordre des Médecins, Île-de-France section, or seek mediation through the Commission de Conciliation et de Conciliation Médicale.</w:t>
      </w:r>
    </w:p>
    <w:bookmarkEnd w:id="23"/>
    <w:bookmarkStart w:id="24" w:name="acceptance-authorisation"/>
    <w:p>
      <w:pPr>
        <w:pStyle w:val="Heading2"/>
      </w:pPr>
      <w:r>
        <w:t xml:space="preserve">4. Acceptance &amp; Authorisation</w:t>
      </w:r>
    </w:p>
    <w:p>
      <w:pPr>
        <w:pStyle w:val="FirstParagraph"/>
      </w:pPr>
      <w:r>
        <w:t xml:space="preserve">By signing below, the patient acknowledges having received and understood this Quotation Estimate for orthodontic treatment. The patient confirms that the Orthodontist has explained the proposed treatment plan, alternative options (including clear aligner therapy and non-treatment), expected duration, and associated risks. The patient authorises the commencement of treatment as described herein.</w:t>
      </w:r>
    </w:p>
    <w:p>
      <w:pPr>
        <w:pStyle w:val="BodyText"/>
      </w:pPr>
      <w:r>
        <w:rPr>
          <w:bCs/>
          <w:b/>
        </w:rPr>
        <w:t xml:space="preserve">Patient Signature</w:t>
      </w:r>
      <w:r>
        <w:br/>
      </w:r>
      <w:r>
        <w:t xml:space="preserve">Mr. James A. Whitfield</w:t>
      </w:r>
      <w:r>
        <w:br/>
      </w:r>
      <w:r>
        <w:t xml:space="preserve">Date: _________________________</w:t>
      </w:r>
    </w:p>
    <w:p>
      <w:pPr>
        <w:pStyle w:val="BodyText"/>
      </w:pPr>
      <w:r>
        <w:rPr>
          <w:bCs/>
          <w:b/>
        </w:rPr>
        <w:t xml:space="preserve">Orthodontist Signature</w:t>
      </w:r>
      <w:r>
        <w:br/>
      </w:r>
      <w:r>
        <w:t xml:space="preserve">Dr. Élise Moreau, DMD</w:t>
      </w:r>
      <w:r>
        <w:br/>
      </w:r>
      <w:r>
        <w:t xml:space="preserve">Date: _________________________</w:t>
      </w:r>
      <w:r>
        <w:br/>
      </w:r>
      <w:r>
        <w:rPr>
          <w:iCs/>
          <w:i/>
        </w:rPr>
        <w:t xml:space="preserve">For Cabinet d'Orthodontie du 8e, Paris, France</w:t>
      </w:r>
    </w:p>
    <w:p>
      <w:pPr>
        <w:pStyle w:val="BodyText"/>
      </w:pPr>
      <w:r>
        <w:t xml:space="preserve">This Quotation Estimate document was generated by the Orthodontist practice at 24 Rue de la Boétie, 75008 Paris, France. It constitutes a formal financial estimate and does not constitute a binding contract until countersigned by both parties. All prices are expressed in Euros (EUR) and include applicable French Value Added Tax (TVA) at the standard rate of 20%. For further information regarding this Quotation Estimate or to schedule a follow-up consultation, please contact the practice office during business hours (Monday to Friday, 08:30–18:00; Saturday, 09:00–13:00).</w:t>
      </w:r>
    </w:p>
    <w:p>
      <w:pPr>
        <w:pStyle w:val="BodyText"/>
      </w:pPr>
      <w:r>
        <w:t xml:space="preserve">© 2025 Cabinet d'Orthodontie du 8e – Paris, France.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Paris, France</dc:title>
  <dc:creator/>
  <dc:language>en</dc:language>
  <cp:keywords/>
  <dcterms:created xsi:type="dcterms:W3CDTF">2026-10-10T09:53:11Z</dcterms:created>
  <dcterms:modified xsi:type="dcterms:W3CDTF">2026-10-10T09:53:11Z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