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rPr>
          <w:bCs/>
          <w:b/>
        </w:rPr>
        <w:t xml:space="preserve">Dr. med. dent. Katharina Vogel – Orthodontist &amp; Dental Practice</w:t>
      </w:r>
    </w:p>
    <w:p>
      <w:pPr>
        <w:pStyle w:val="BodyText"/>
      </w:pPr>
      <w:r>
        <w:t xml:space="preserve">Maximilianstraße 42, 80539 Munich, Germany</w:t>
      </w:r>
    </w:p>
    <w:p>
      <w:pPr>
        <w:pStyle w:val="BodyText"/>
      </w:pPr>
      <w:r>
        <w:t xml:space="preserve">Phone: +49 89 1234 5678 | Email: info@orthodontist-munich.de</w:t>
      </w:r>
    </w:p>
    <w:p>
      <w:pPr>
        <w:pStyle w:val="BodyText"/>
      </w:pPr>
      <w:r>
        <w:t xml:space="preserve">USt-IdNr.: DE 298 765 431 | KZV-Zulassung: 89-4521</w:t>
      </w:r>
    </w:p>
    <w:p>
      <w:pPr>
        <w:pStyle w:val="BodyText"/>
      </w:pPr>
      <w:r>
        <w:t xml:space="preserve">Quotation Estimate No. QE-2025-04871</w:t>
      </w:r>
    </w:p>
    <w:bookmarkEnd w:id="20"/>
    <w:bookmarkStart w:id="21" w:name="issued-to-patient-client"/>
    <w:p>
      <w:pPr>
        <w:pStyle w:val="Heading3"/>
      </w:pPr>
      <w:r>
        <w:t xml:space="preserve">Issued To (Patient / Client)</w:t>
      </w:r>
    </w:p>
    <w:p>
      <w:pPr>
        <w:pStyle w:val="FirstParagraph"/>
      </w:pPr>
      <w:r>
        <w:rPr>
          <w:bCs/>
          <w:b/>
        </w:rPr>
        <w:t xml:space="preserve">Name:</w:t>
      </w:r>
      <w:r>
        <w:t xml:space="preserve"> </w:t>
      </w:r>
      <w:r>
        <w:t xml:space="preserve">[Patient Full Name]</w:t>
      </w:r>
    </w:p>
    <w:p>
      <w:pPr>
        <w:pStyle w:val="BodyText"/>
      </w:pPr>
      <w:r>
        <w:rPr>
          <w:bCs/>
          <w:b/>
        </w:rPr>
        <w:t xml:space="preserve">Address:</w:t>
      </w:r>
      <w:r>
        <w:t xml:space="preserve"> </w:t>
      </w:r>
      <w:r>
        <w:t xml:space="preserve">[Street, Postal Code, Munich, Germany]</w:t>
      </w:r>
    </w:p>
    <w:p>
      <w:pPr>
        <w:pStyle w:val="BodyText"/>
      </w:pPr>
      <w:r>
        <w:rPr>
          <w:bCs/>
          <w:b/>
        </w:rPr>
        <w:t xml:space="preserve">Date of Birth:</w:t>
      </w:r>
      <w:r>
        <w:t xml:space="preserve"> </w:t>
      </w:r>
      <w:r>
        <w:t xml:space="preserve">[DD/MM/YYYY]</w:t>
      </w:r>
    </w:p>
    <w:p>
      <w:pPr>
        <w:pStyle w:val="BodyText"/>
      </w:pPr>
      <w:r>
        <w:rPr>
          <w:bCs/>
          <w:b/>
        </w:rPr>
        <w:t xml:space="preserve">Insurance Provider:</w:t>
      </w:r>
      <w:r>
        <w:t xml:space="preserve"> </w:t>
      </w:r>
      <w:r>
        <w:t xml:space="preserve">[e.g., TK, AOK, BARMER, or Private]</w:t>
      </w:r>
    </w:p>
    <w:p>
      <w:pPr>
        <w:pStyle w:val="BodyText"/>
      </w:pPr>
      <w:r>
        <w:rPr>
          <w:bCs/>
          <w:b/>
        </w:rPr>
        <w:t xml:space="preserve">Insurance Policy No.:</w:t>
      </w:r>
      <w:r>
        <w:t xml:space="preserve"> </w:t>
      </w:r>
      <w:r>
        <w:t xml:space="preserve">[Policy Number]</w:t>
      </w:r>
    </w:p>
    <w:bookmarkEnd w:id="21"/>
    <w:bookmarkStart w:id="22" w:name="quotation-estimate-details"/>
    <w:p>
      <w:pPr>
        <w:pStyle w:val="Heading3"/>
      </w:pPr>
      <w:r>
        <w:t xml:space="preserve">Quotation Estimate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 (90 days)</w:t>
      </w:r>
    </w:p>
    <w:p>
      <w:pPr>
        <w:pStyle w:val="BodyText"/>
      </w:pPr>
      <w:r>
        <w:rPr>
          <w:bCs/>
          <w:b/>
        </w:rPr>
        <w:t xml:space="preserve">Prepared By:</w:t>
      </w:r>
      <w:r>
        <w:t xml:space="preserve"> </w:t>
      </w:r>
      <w:r>
        <w:t xml:space="preserve">Dr. med. dent. Katharina Vogel, Orthodontist</w:t>
      </w:r>
    </w:p>
    <w:p>
      <w:pPr>
        <w:pStyle w:val="BodyText"/>
      </w:pPr>
      <w:r>
        <w:rPr>
          <w:bCs/>
          <w:b/>
        </w:rPr>
        <w:t xml:space="preserve">Referral Source:</w:t>
      </w:r>
      <w:r>
        <w:t xml:space="preserve"> </w:t>
      </w:r>
      <w:r>
        <w:t xml:space="preserve">General Dentist / Self-Referral</w:t>
      </w:r>
    </w:p>
    <w:p>
      <w:pPr>
        <w:pStyle w:val="BodyText"/>
      </w:pPr>
      <w:r>
        <w:rPr>
          <w:bCs/>
          <w:b/>
        </w:rPr>
        <w:t xml:space="preserve">Currency:</w:t>
      </w:r>
      <w:r>
        <w:t xml:space="preserve"> </w:t>
      </w:r>
      <w:r>
        <w:t xml:space="preserve">EUR (€) – Germany Munich</w:t>
      </w:r>
    </w:p>
    <w:bookmarkEnd w:id="22"/>
    <w:p>
      <w:pPr>
        <w:pStyle w:val="BodyText"/>
      </w:pPr>
      <w:r>
        <w:t xml:space="preserve">Dear Patient,</w:t>
      </w:r>
    </w:p>
    <w:p>
      <w:pPr>
        <w:pStyle w:val="BodyText"/>
      </w:pPr>
      <w:r>
        <w:t xml:space="preserve">Thank you for choosing our Orthodontist practice in Germany Munich for your orthodontic care. This Quotation Estimate has been prepared following your comprehensive initial consultation and diagnostic imaging (panoramic X-ray, cephalometric analysis, and intraoral digital impressions) conducted on 10 June 2025. The purpose of this Quotation Estimate is to provide you with a transparent, itemised breakdown of all anticipated orthodontic treatment costs, insurance contributions, and patient co-payments in accordance with the German statutory health insurance framework (GKV) and the applicable fee schedule (GOZ / KZR).</w:t>
      </w:r>
    </w:p>
    <w:p>
      <w:pPr>
        <w:pStyle w:val="BodyText"/>
      </w:pPr>
      <w:r>
        <w:t xml:space="preserve">1. Diagnosis &amp; Treatment Plan Summary</w:t>
      </w:r>
    </w:p>
    <w:p>
      <w:pPr>
        <w:pStyle w:val="BodyText"/>
      </w:pPr>
      <w:r>
        <w:t xml:space="preserve">Based on the clinical examination performed by our Orthodontist in Germany Munich, the following diagnosis has been established: Class II malocclusion with upper incisor protrusion, moderate crowding in the lower arch, and a crossbite on the right posterior segment. The recommended treatment plan involves fixed orthodontic appliance therapy (braces) combined with interproximal reduction (IPR) and, if necessary, a subsequent retention phase. The estimated total treatment duration is 24 to 30 months.</w:t>
      </w:r>
    </w:p>
    <w:p>
      <w:pPr>
        <w:pStyle w:val="BodyText"/>
      </w:pPr>
      <w:r>
        <w:t xml:space="preserve">2. Itemised Quotation Estimate – Treatment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Procedure</w:t>
            </w:r>
          </w:p>
        </w:tc>
        <w:tc>
          <w:tcPr/>
          <w:p>
            <w:pPr>
              <w:pStyle w:val="Compact"/>
              <w:jc w:val="left"/>
            </w:pPr>
            <w:r>
              <w:t xml:space="preserve">GOZ / KZR Code</w:t>
            </w:r>
          </w:p>
        </w:tc>
        <w:tc>
          <w:tcPr/>
          <w:p>
            <w:pPr>
              <w:pStyle w:val="Compact"/>
              <w:jc w:val="left"/>
            </w:pPr>
            <w:r>
              <w:t xml:space="preserve">GKV Contribution (€)</w:t>
            </w:r>
          </w:p>
        </w:tc>
        <w:tc>
          <w:tcPr/>
          <w:p>
            <w:pPr>
              <w:pStyle w:val="Compact"/>
              <w:jc w:val="left"/>
            </w:pPr>
            <w:r>
              <w:t xml:space="preserve">Patient Co-Payment (€)</w:t>
            </w:r>
          </w:p>
        </w:tc>
        <w:tc>
          <w:tcPr/>
          <w:p>
            <w:pPr>
              <w:pStyle w:val="Compact"/>
              <w:jc w:val="left"/>
            </w:pPr>
            <w:r>
              <w:t xml:space="preserve">Total (€)</w:t>
            </w:r>
          </w:p>
        </w:tc>
      </w:tr>
      <w:tr>
        <w:tc>
          <w:tcPr/>
          <w:p>
            <w:pPr>
              <w:pStyle w:val="Compact"/>
              <w:jc w:val="left"/>
            </w:pPr>
            <w:r>
              <w:t xml:space="preserve">1</w:t>
            </w:r>
          </w:p>
        </w:tc>
        <w:tc>
          <w:tcPr/>
          <w:p>
            <w:pPr>
              <w:pStyle w:val="Compact"/>
              <w:jc w:val="left"/>
            </w:pPr>
            <w:r>
              <w:t xml:space="preserve">Initial consultation, diagnosis &amp; treatment planning (Orthodontist, Germany Munich)</w:t>
            </w:r>
          </w:p>
        </w:tc>
        <w:tc>
          <w:tcPr/>
          <w:p>
            <w:pPr>
              <w:pStyle w:val="Compact"/>
              <w:jc w:val="left"/>
            </w:pPr>
            <w:r>
              <w:t xml:space="preserve">K 0101</w:t>
            </w:r>
          </w:p>
        </w:tc>
        <w:tc>
          <w:tcPr/>
          <w:p>
            <w:pPr>
              <w:pStyle w:val="Compact"/>
              <w:jc w:val="left"/>
            </w:pPr>
            <w:r>
              <w:t xml:space="preserve">€ 89.50</w:t>
            </w:r>
          </w:p>
        </w:tc>
        <w:tc>
          <w:tcPr/>
          <w:p>
            <w:pPr>
              <w:pStyle w:val="Compact"/>
              <w:jc w:val="left"/>
            </w:pPr>
            <w:r>
              <w:t xml:space="preserve">€ 0.00</w:t>
            </w:r>
          </w:p>
        </w:tc>
        <w:tc>
          <w:tcPr/>
          <w:p>
            <w:pPr>
              <w:pStyle w:val="Compact"/>
              <w:jc w:val="left"/>
            </w:pPr>
            <w:r>
              <w:t xml:space="preserve">€ 89.50</w:t>
            </w:r>
          </w:p>
        </w:tc>
      </w:tr>
      <w:tr>
        <w:tc>
          <w:tcPr/>
          <w:p>
            <w:pPr>
              <w:pStyle w:val="Compact"/>
              <w:jc w:val="left"/>
            </w:pPr>
            <w:r>
              <w:t xml:space="preserve">2</w:t>
            </w:r>
          </w:p>
        </w:tc>
        <w:tc>
          <w:tcPr/>
          <w:p>
            <w:pPr>
              <w:pStyle w:val="Compact"/>
              <w:jc w:val="left"/>
            </w:pPr>
            <w:r>
              <w:t xml:space="preserve">Panoramic radiograph (OPG) &amp; cephalometric X-ray</w:t>
            </w:r>
          </w:p>
        </w:tc>
        <w:tc>
          <w:tcPr/>
          <w:p>
            <w:pPr>
              <w:pStyle w:val="Compact"/>
              <w:jc w:val="left"/>
            </w:pPr>
            <w:r>
              <w:t xml:space="preserve">K 0301 / K 0302</w:t>
            </w:r>
          </w:p>
        </w:tc>
        <w:tc>
          <w:tcPr/>
          <w:p>
            <w:pPr>
              <w:pStyle w:val="Compact"/>
              <w:jc w:val="left"/>
            </w:pPr>
            <w:r>
              <w:t xml:space="preserve">€ 112.30</w:t>
            </w:r>
          </w:p>
        </w:tc>
        <w:tc>
          <w:tcPr/>
          <w:p>
            <w:pPr>
              <w:pStyle w:val="Compact"/>
              <w:jc w:val="left"/>
            </w:pPr>
            <w:r>
              <w:t xml:space="preserve">€ 0.00</w:t>
            </w:r>
          </w:p>
        </w:tc>
        <w:tc>
          <w:tcPr/>
          <w:p>
            <w:pPr>
              <w:pStyle w:val="Compact"/>
              <w:jc w:val="left"/>
            </w:pPr>
            <w:r>
              <w:t xml:space="preserve">€ 112.30</w:t>
            </w:r>
          </w:p>
        </w:tc>
      </w:tr>
      <w:tr>
        <w:tc>
          <w:tcPr/>
          <w:p>
            <w:pPr>
              <w:pStyle w:val="Compact"/>
              <w:jc w:val="left"/>
            </w:pPr>
            <w:r>
              <w:t xml:space="preserve">3</w:t>
            </w:r>
          </w:p>
        </w:tc>
        <w:tc>
          <w:tcPr/>
          <w:p>
            <w:pPr>
              <w:pStyle w:val="Compact"/>
              <w:jc w:val="left"/>
            </w:pPr>
            <w:r>
              <w:t xml:space="preserve">Digital intraoral scan &amp; model fabrication (upper &amp; lower arch)</w:t>
            </w:r>
          </w:p>
        </w:tc>
        <w:tc>
          <w:tcPr/>
          <w:p>
            <w:pPr>
              <w:pStyle w:val="Compact"/>
              <w:jc w:val="left"/>
            </w:pPr>
            <w:r>
              <w:t xml:space="preserve">K 0102</w:t>
            </w:r>
          </w:p>
        </w:tc>
        <w:tc>
          <w:tcPr/>
          <w:p>
            <w:pPr>
              <w:pStyle w:val="Compact"/>
              <w:jc w:val="left"/>
            </w:pPr>
            <w:r>
              <w:t xml:space="preserve">€ 74.20</w:t>
            </w:r>
          </w:p>
        </w:tc>
        <w:tc>
          <w:tcPr/>
          <w:p>
            <w:pPr>
              <w:pStyle w:val="Compact"/>
              <w:jc w:val="left"/>
            </w:pPr>
            <w:r>
              <w:t xml:space="preserve">€ 0.00</w:t>
            </w:r>
          </w:p>
        </w:tc>
        <w:tc>
          <w:tcPr/>
          <w:p>
            <w:pPr>
              <w:pStyle w:val="Compact"/>
              <w:jc w:val="left"/>
            </w:pPr>
            <w:r>
              <w:t xml:space="preserve">€ 74.20</w:t>
            </w:r>
          </w:p>
        </w:tc>
      </w:tr>
      <w:tr>
        <w:tc>
          <w:tcPr/>
          <w:p>
            <w:pPr>
              <w:pStyle w:val="Compact"/>
              <w:jc w:val="left"/>
            </w:pPr>
            <w:r>
              <w:t xml:space="preserve">4</w:t>
            </w:r>
          </w:p>
        </w:tc>
        <w:tc>
          <w:tcPr/>
          <w:p>
            <w:pPr>
              <w:pStyle w:val="Compact"/>
              <w:jc w:val="left"/>
            </w:pPr>
            <w:r>
              <w:t xml:space="preserve">Fixed orthodontic appliance – upper arch (ceramic brackets, 14 units)</w:t>
            </w:r>
          </w:p>
        </w:tc>
        <w:tc>
          <w:tcPr/>
          <w:p>
            <w:pPr>
              <w:pStyle w:val="Compact"/>
              <w:jc w:val="left"/>
            </w:pPr>
            <w:r>
              <w:t xml:space="preserve">K 0501</w:t>
            </w:r>
          </w:p>
        </w:tc>
        <w:tc>
          <w:tcPr/>
          <w:p>
            <w:pPr>
              <w:pStyle w:val="Compact"/>
              <w:jc w:val="left"/>
            </w:pPr>
            <w:r>
              <w:t xml:space="preserve">€ 1,240.00</w:t>
            </w:r>
          </w:p>
        </w:tc>
        <w:tc>
          <w:tcPr/>
          <w:p>
            <w:pPr>
              <w:pStyle w:val="Compact"/>
              <w:jc w:val="left"/>
            </w:pPr>
            <w:r>
              <w:t xml:space="preserve">€ 0.00</w:t>
            </w:r>
          </w:p>
        </w:tc>
        <w:tc>
          <w:tcPr/>
          <w:p>
            <w:pPr>
              <w:pStyle w:val="Compact"/>
              <w:jc w:val="left"/>
            </w:pPr>
            <w:r>
              <w:t xml:space="preserve">€ 1,240.00</w:t>
            </w:r>
          </w:p>
        </w:tc>
      </w:tr>
      <w:tr>
        <w:tc>
          <w:tcPr/>
          <w:p>
            <w:pPr>
              <w:pStyle w:val="Compact"/>
              <w:jc w:val="left"/>
            </w:pPr>
            <w:r>
              <w:t xml:space="preserve">5</w:t>
            </w:r>
          </w:p>
        </w:tc>
        <w:tc>
          <w:tcPr/>
          <w:p>
            <w:pPr>
              <w:pStyle w:val="Compact"/>
              <w:jc w:val="left"/>
            </w:pPr>
            <w:r>
              <w:t xml:space="preserve">Fixed orthodontic appliance – lower arch (ceramic brackets, 14 units)</w:t>
            </w:r>
          </w:p>
        </w:tc>
        <w:tc>
          <w:tcPr/>
          <w:p>
            <w:pPr>
              <w:pStyle w:val="Compact"/>
              <w:jc w:val="left"/>
            </w:pPr>
            <w:r>
              <w:t xml:space="preserve">K 0502</w:t>
            </w:r>
          </w:p>
        </w:tc>
        <w:tc>
          <w:tcPr/>
          <w:p>
            <w:pPr>
              <w:pStyle w:val="Compact"/>
              <w:jc w:val="left"/>
            </w:pPr>
            <w:r>
              <w:t xml:space="preserve">€ 1,240.00</w:t>
            </w:r>
          </w:p>
        </w:tc>
        <w:tc>
          <w:tcPr/>
          <w:p>
            <w:pPr>
              <w:pStyle w:val="Compact"/>
              <w:jc w:val="left"/>
            </w:pPr>
            <w:r>
              <w:t xml:space="preserve">€ 0.00</w:t>
            </w:r>
          </w:p>
        </w:tc>
        <w:tc>
          <w:tcPr/>
          <w:p>
            <w:pPr>
              <w:pStyle w:val="Compact"/>
              <w:jc w:val="left"/>
            </w:pPr>
            <w:r>
              <w:t xml:space="preserve">€ 1,240.00</w:t>
            </w:r>
          </w:p>
        </w:tc>
      </w:tr>
      <w:tr>
        <w:tc>
          <w:tcPr/>
          <w:p>
            <w:pPr>
              <w:pStyle w:val="Compact"/>
              <w:jc w:val="left"/>
            </w:pPr>
            <w:r>
              <w:t xml:space="preserve">6</w:t>
            </w:r>
          </w:p>
        </w:tc>
        <w:tc>
          <w:tcPr/>
          <w:p>
            <w:pPr>
              <w:pStyle w:val="Compact"/>
              <w:jc w:val="left"/>
            </w:pPr>
            <w:r>
              <w:t xml:space="preserve">Interproximal reduction (IPR) – up to 10 surfaces</w:t>
            </w:r>
          </w:p>
        </w:tc>
        <w:tc>
          <w:tcPr/>
          <w:p>
            <w:pPr>
              <w:pStyle w:val="Compact"/>
              <w:jc w:val="left"/>
            </w:pPr>
            <w:r>
              <w:t xml:space="preserve">K 0601</w:t>
            </w:r>
          </w:p>
        </w:tc>
        <w:tc>
          <w:tcPr/>
          <w:p>
            <w:pPr>
              <w:pStyle w:val="Compact"/>
              <w:jc w:val="left"/>
            </w:pPr>
            <w:r>
              <w:t xml:space="preserve">€ 310.00</w:t>
            </w:r>
          </w:p>
        </w:tc>
        <w:tc>
          <w:tcPr/>
          <w:p>
            <w:pPr>
              <w:pStyle w:val="Compact"/>
              <w:jc w:val="left"/>
            </w:pPr>
            <w:r>
              <w:t xml:space="preserve">€ 0.00</w:t>
            </w:r>
          </w:p>
        </w:tc>
        <w:tc>
          <w:tcPr/>
          <w:p>
            <w:pPr>
              <w:pStyle w:val="Compact"/>
              <w:jc w:val="left"/>
            </w:pPr>
            <w:r>
              <w:t xml:space="preserve">€ 310.00</w:t>
            </w:r>
          </w:p>
        </w:tc>
      </w:tr>
      <w:tr>
        <w:tc>
          <w:tcPr/>
          <w:p>
            <w:pPr>
              <w:pStyle w:val="Compact"/>
              <w:jc w:val="left"/>
            </w:pPr>
            <w:r>
              <w:t xml:space="preserve">7</w:t>
            </w:r>
          </w:p>
        </w:tc>
        <w:tc>
          <w:tcPr/>
          <w:p>
            <w:pPr>
              <w:pStyle w:val="Compact"/>
              <w:jc w:val="left"/>
            </w:pPr>
            <w:r>
              <w:t xml:space="preserve">Orthodontic adjustment visits (estimated 24 sessions over 24 months)</w:t>
            </w:r>
          </w:p>
        </w:tc>
        <w:tc>
          <w:tcPr/>
          <w:p>
            <w:pPr>
              <w:pStyle w:val="Compact"/>
              <w:jc w:val="left"/>
            </w:pPr>
            <w:r>
              <w:t xml:space="preserve">K 0701 × 24</w:t>
            </w:r>
          </w:p>
        </w:tc>
        <w:tc>
          <w:tcPr/>
          <w:p>
            <w:pPr>
              <w:pStyle w:val="Compact"/>
              <w:jc w:val="left"/>
            </w:pPr>
            <w:r>
              <w:t xml:space="preserve">€ 2,880.00</w:t>
            </w:r>
          </w:p>
        </w:tc>
        <w:tc>
          <w:tcPr/>
          <w:p>
            <w:pPr>
              <w:pStyle w:val="Compact"/>
              <w:jc w:val="left"/>
            </w:pPr>
            <w:r>
              <w:t xml:space="preserve">€ 0.00</w:t>
            </w:r>
          </w:p>
        </w:tc>
        <w:tc>
          <w:tcPr/>
          <w:p>
            <w:pPr>
              <w:pStyle w:val="Compact"/>
              <w:jc w:val="left"/>
            </w:pPr>
            <w:r>
              <w:t xml:space="preserve">€ 2,880.00</w:t>
            </w:r>
          </w:p>
        </w:tc>
      </w:tr>
      <w:tr>
        <w:tc>
          <w:tcPr/>
          <w:p>
            <w:pPr>
              <w:pStyle w:val="Compact"/>
              <w:jc w:val="left"/>
            </w:pPr>
            <w:r>
              <w:t xml:space="preserve">8</w:t>
            </w:r>
          </w:p>
        </w:tc>
        <w:tc>
          <w:tcPr/>
          <w:p>
            <w:pPr>
              <w:pStyle w:val="Compact"/>
              <w:jc w:val="left"/>
            </w:pPr>
            <w:r>
              <w:t xml:space="preserve">Removable retainer (upper &amp; lower, Essix type)</w:t>
            </w:r>
          </w:p>
        </w:tc>
        <w:tc>
          <w:tcPr/>
          <w:p>
            <w:pPr>
              <w:pStyle w:val="Compact"/>
              <w:jc w:val="left"/>
            </w:pPr>
            <w:r>
              <w:t xml:space="preserve">K 0801</w:t>
            </w:r>
          </w:p>
        </w:tc>
        <w:tc>
          <w:tcPr/>
          <w:p>
            <w:pPr>
              <w:pStyle w:val="Compact"/>
              <w:jc w:val="left"/>
            </w:pPr>
            <w:r>
              <w:t xml:space="preserve">€ 295.00</w:t>
            </w:r>
          </w:p>
        </w:tc>
        <w:tc>
          <w:tcPr/>
          <w:p>
            <w:pPr>
              <w:pStyle w:val="Compact"/>
              <w:jc w:val="left"/>
            </w:pPr>
            <w:r>
              <w:t xml:space="preserve">€ 0.00</w:t>
            </w:r>
          </w:p>
        </w:tc>
        <w:tc>
          <w:tcPr/>
          <w:p>
            <w:pPr>
              <w:pStyle w:val="Compact"/>
              <w:jc w:val="left"/>
            </w:pPr>
            <w:r>
              <w:t xml:space="preserve">€ 295.00</w:t>
            </w:r>
          </w:p>
        </w:tc>
      </w:tr>
      <w:tr>
        <w:tc>
          <w:tcPr/>
          <w:p>
            <w:pPr>
              <w:pStyle w:val="Compact"/>
              <w:jc w:val="left"/>
            </w:pPr>
            <w:r>
              <w:t xml:space="preserve">9</w:t>
            </w:r>
          </w:p>
        </w:tc>
        <w:tc>
          <w:tcPr/>
          <w:p>
            <w:pPr>
              <w:pStyle w:val="Compact"/>
              <w:jc w:val="left"/>
            </w:pPr>
            <w:r>
              <w:t xml:space="preserve">Additional radiographic controls (2 OPG during treatment)</w:t>
            </w:r>
          </w:p>
        </w:tc>
        <w:tc>
          <w:tcPr/>
          <w:p>
            <w:pPr>
              <w:pStyle w:val="Compact"/>
              <w:jc w:val="left"/>
            </w:pPr>
            <w:r>
              <w:t xml:space="preserve">K 0301 × 2</w:t>
            </w:r>
          </w:p>
        </w:tc>
        <w:tc>
          <w:tcPr/>
          <w:p>
            <w:pPr>
              <w:pStyle w:val="Compact"/>
              <w:jc w:val="left"/>
            </w:pPr>
            <w:r>
              <w:t xml:space="preserve">€ 124.60</w:t>
            </w:r>
          </w:p>
        </w:tc>
        <w:tc>
          <w:tcPr/>
          <w:p>
            <w:pPr>
              <w:pStyle w:val="Compact"/>
              <w:jc w:val="left"/>
            </w:pPr>
            <w:r>
              <w:t xml:space="preserve">€ 0.00</w:t>
            </w:r>
          </w:p>
        </w:tc>
        <w:tc>
          <w:tcPr/>
          <w:p>
            <w:pPr>
              <w:pStyle w:val="Compact"/>
              <w:jc w:val="left"/>
            </w:pPr>
            <w:r>
              <w:t xml:space="preserve">€ 124.60</w:t>
            </w:r>
          </w:p>
        </w:tc>
      </w:tr>
      <w:tr>
        <w:tc>
          <w:tcPr/>
          <w:p>
            <w:pPr>
              <w:pStyle w:val="Compact"/>
              <w:jc w:val="left"/>
            </w:pPr>
            <w:r>
              <w:t xml:space="preserve">10</w:t>
            </w:r>
          </w:p>
        </w:tc>
        <w:tc>
          <w:tcPr/>
          <w:p>
            <w:pPr>
              <w:pStyle w:val="Compact"/>
              <w:jc w:val="left"/>
            </w:pPr>
            <w:r>
              <w:t xml:space="preserve">Emergency / unplanned adjustment visits (estimated 3)</w:t>
            </w:r>
          </w:p>
        </w:tc>
        <w:tc>
          <w:tcPr/>
          <w:p>
            <w:pPr>
              <w:pStyle w:val="Compact"/>
              <w:jc w:val="left"/>
            </w:pPr>
            <w:r>
              <w:t xml:space="preserve">K 0702 × 3</w:t>
            </w:r>
          </w:p>
        </w:tc>
        <w:tc>
          <w:tcPr/>
          <w:p>
            <w:pPr>
              <w:pStyle w:val="Compact"/>
              <w:jc w:val="left"/>
            </w:pPr>
            <w:r>
              <w:t xml:space="preserve">€ 210.00</w:t>
            </w:r>
          </w:p>
        </w:tc>
        <w:tc>
          <w:tcPr/>
          <w:p>
            <w:pPr>
              <w:pStyle w:val="Compact"/>
              <w:jc w:val="left"/>
            </w:pPr>
            <w:r>
              <w:t xml:space="preserve">€ 0.00</w:t>
            </w:r>
          </w:p>
        </w:tc>
        <w:tc>
          <w:tcPr/>
          <w:p>
            <w:pPr>
              <w:pStyle w:val="Compact"/>
              <w:jc w:val="left"/>
            </w:pPr>
            <w:r>
              <w:t xml:space="preserve">€ 210.00</w:t>
            </w:r>
          </w:p>
        </w:tc>
      </w:tr>
      <w:tr>
        <w:tc>
          <w:tcPr>
            <w:gridSpan w:val="4"/>
          </w:tcPr>
          <w:p>
            <w:pPr>
              <w:pStyle w:val="Compact"/>
              <w:jc w:val="left"/>
            </w:pPr>
            <w:r>
              <w:rPr>
                <w:bCs/>
                <w:b/>
              </w:rPr>
              <w:t xml:space="preserve">Subtotal – Statutory Insurance (GKV) Covered</w:t>
            </w:r>
          </w:p>
        </w:tc>
        <w:tc>
          <w:tcPr/>
          <w:p>
            <w:pPr>
              <w:pStyle w:val="Compact"/>
              <w:jc w:val="left"/>
            </w:pPr>
            <w:r>
              <w:rPr>
                <w:bCs/>
                <w:b/>
              </w:rPr>
              <w:t xml:space="preserve">€ 6,575.60</w:t>
            </w:r>
          </w:p>
        </w:tc>
        <w:tc>
          <w:tcPr/>
          <w:p>
            <w:pPr>
              <w:pStyle w:val="Compact"/>
              <w:jc w:val="left"/>
            </w:pPr>
            <w:r>
              <w:rPr>
                <w:bCs/>
                <w:b/>
              </w:rPr>
              <w:t xml:space="preserve">€ 6,575.60</w:t>
            </w:r>
          </w:p>
        </w:tc>
      </w:tr>
      <w:tr>
        <w:tc>
          <w:tcPr/>
          <w:p>
            <w:pPr>
              <w:pStyle w:val="Compact"/>
              <w:jc w:val="left"/>
            </w:pPr>
            <w:r>
              <w:t xml:space="preserve">11</w:t>
            </w:r>
          </w:p>
        </w:tc>
        <w:tc>
          <w:tcPr/>
          <w:p>
            <w:pPr>
              <w:pStyle w:val="Compact"/>
              <w:jc w:val="left"/>
            </w:pPr>
            <w:r>
              <w:t xml:space="preserve">Patient co-payment for premium ceramic brackets (difference to standard metal)</w:t>
            </w:r>
          </w:p>
        </w:tc>
        <w:tc>
          <w:tcPr/>
          <w:p>
            <w:pPr>
              <w:pStyle w:val="Compact"/>
              <w:jc w:val="left"/>
            </w:pPr>
            <w:r>
              <w:t xml:space="preserve">GOZ 1050</w:t>
            </w:r>
          </w:p>
        </w:tc>
        <w:tc>
          <w:tcPr/>
          <w:p>
            <w:pPr>
              <w:pStyle w:val="Compact"/>
              <w:jc w:val="left"/>
            </w:pPr>
            <w:r>
              <w:t xml:space="preserve">€ 0.00</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12</w:t>
            </w:r>
          </w:p>
        </w:tc>
        <w:tc>
          <w:tcPr/>
          <w:p>
            <w:pPr>
              <w:pStyle w:val="Compact"/>
              <w:jc w:val="left"/>
            </w:pPr>
            <w:r>
              <w:t xml:space="preserve">Additional digital smile design &amp; 3D simulation (Orthodontist, Germany Munich)</w:t>
            </w:r>
          </w:p>
        </w:tc>
        <w:tc>
          <w:tcPr/>
          <w:p>
            <w:pPr>
              <w:pStyle w:val="Compact"/>
              <w:jc w:val="left"/>
            </w:pPr>
            <w:r>
              <w:t xml:space="preserve">GOZ 1050</w:t>
            </w:r>
          </w:p>
        </w:tc>
        <w:tc>
          <w:tcPr/>
          <w:p>
            <w:pPr>
              <w:pStyle w:val="Compact"/>
              <w:jc w:val="left"/>
            </w:pPr>
            <w:r>
              <w:t xml:space="preserve">€ 0.00</w:t>
            </w:r>
          </w:p>
        </w:tc>
        <w:tc>
          <w:tcPr/>
          <w:p>
            <w:pPr>
              <w:pStyle w:val="Compact"/>
              <w:jc w:val="left"/>
            </w:pPr>
            <w:r>
              <w:t xml:space="preserve">€ 320.00</w:t>
            </w:r>
          </w:p>
        </w:tc>
        <w:tc>
          <w:tcPr/>
          <w:p>
            <w:pPr>
              <w:pStyle w:val="Compact"/>
              <w:jc w:val="left"/>
            </w:pPr>
            <w:r>
              <w:t xml:space="preserve">€ 320.00</w:t>
            </w:r>
          </w:p>
        </w:tc>
      </w:tr>
      <w:tr>
        <w:tc>
          <w:tcPr>
            <w:gridSpan w:val="4"/>
          </w:tcPr>
          <w:p>
            <w:pPr>
              <w:pStyle w:val="Compact"/>
              <w:jc w:val="left"/>
            </w:pPr>
            <w:r>
              <w:rPr>
                <w:bCs/>
                <w:b/>
              </w:rPr>
              <w:t xml:space="preserve">Subtotal – Patient Co-Payment (Out-of-Pocket)</w:t>
            </w:r>
          </w:p>
        </w:tc>
        <w:tc>
          <w:tcPr/>
          <w:p>
            <w:pPr>
              <w:pStyle w:val="Compact"/>
              <w:jc w:val="left"/>
            </w:pPr>
            <w:r>
              <w:rPr>
                <w:bCs/>
                <w:b/>
              </w:rPr>
              <w:t xml:space="preserve">€ 2,170.00</w:t>
            </w:r>
          </w:p>
        </w:tc>
        <w:tc>
          <w:tcPr/>
          <w:p>
            <w:pPr>
              <w:pStyle w:val="Compact"/>
              <w:jc w:val="left"/>
            </w:pPr>
            <w:r>
              <w:rPr>
                <w:bCs/>
                <w:b/>
              </w:rPr>
              <w:t xml:space="preserve">€ 2,170.00</w:t>
            </w:r>
          </w:p>
        </w:tc>
      </w:tr>
      <w:tr>
        <w:tc>
          <w:tcPr>
            <w:gridSpan w:val="4"/>
          </w:tcPr>
          <w:p>
            <w:pPr>
              <w:pStyle w:val="Compact"/>
              <w:jc w:val="left"/>
            </w:pPr>
            <w:r>
              <w:rPr>
                <w:bCs/>
                <w:b/>
              </w:rPr>
              <w:t xml:space="preserve">GRAND TOTAL – Quotation Estimate</w:t>
            </w:r>
          </w:p>
        </w:tc>
        <w:tc>
          <w:tcPr>
            <w:gridSpan w:val="2"/>
          </w:tcPr>
          <w:p>
            <w:pPr>
              <w:pStyle w:val="Compact"/>
              <w:jc w:val="left"/>
            </w:pPr>
            <w:r>
              <w:rPr>
                <w:bCs/>
                <w:b/>
              </w:rPr>
              <w:t xml:space="preserve">€ 8,745.60</w:t>
            </w:r>
          </w:p>
        </w:tc>
      </w:tr>
    </w:tbl>
    <w:p>
      <w:pPr>
        <w:pStyle w:val="BodyText"/>
      </w:pPr>
      <w:r>
        <w:t xml:space="preserve">3. Insurance &amp; Payment Information</w:t>
      </w:r>
    </w:p>
    <w:p>
      <w:pPr>
        <w:pStyle w:val="BodyText"/>
      </w:pPr>
      <w:r>
        <w:t xml:space="preserve">This Quotation Estimate reflects the standard reimbursement rates under the German statutory health insurance (Gesetzliche Krankenversicherung – GKV) as defined by the KZR (Kostenverzeichnis für Zahnärztliche Leistungen). For patients with private health insurance (PKV), the applicable GOZ fee schedule will be applied, and a separate Quotation Estimate will be issued upon request. Our Orthodontist practice in Germany Munich accepts all major GKV and PKV providers. Payment of the patient co-payment portion may be arranged in monthly instalments over the treatment duration; please contact our practice administration in Munich to discuss available payment plans.</w:t>
      </w:r>
    </w:p>
    <w:p>
      <w:pPr>
        <w:pStyle w:val="BodyText"/>
      </w:pPr>
      <w:r>
        <w:t xml:space="preserve">4. Terms &amp; Conditions of This Quotation Estimate</w:t>
      </w:r>
    </w:p>
    <w:p>
      <w:pPr>
        <w:numPr>
          <w:ilvl w:val="0"/>
          <w:numId w:val="1001"/>
        </w:numPr>
        <w:pStyle w:val="Compact"/>
      </w:pPr>
      <w:r>
        <w:t xml:space="preserve">This Quotation Estimate is valid for a period of 90 calendar days from the date of issue (15 June 2025 to 15 September 2025). After this period, a revised Quotation Estimate may be required due to potential changes in material costs or insurance regulations in Germany Munich.</w:t>
      </w:r>
    </w:p>
    <w:p>
      <w:pPr>
        <w:numPr>
          <w:ilvl w:val="0"/>
          <w:numId w:val="1001"/>
        </w:numPr>
        <w:pStyle w:val="Compact"/>
      </w:pPr>
      <w:r>
        <w:t xml:space="preserve">The total treatment cost is an estimate based on the current clinical findings. The Orthodontist in Germany Munich reserves the right to adjust the treatment plan and, consequently, the Quotation Estimate, should additional procedures become necessary during the course of therapy.</w:t>
      </w:r>
    </w:p>
    <w:p>
      <w:pPr>
        <w:numPr>
          <w:ilvl w:val="0"/>
          <w:numId w:val="1001"/>
        </w:numPr>
        <w:pStyle w:val="Compact"/>
      </w:pPr>
      <w:r>
        <w:t xml:space="preserve">All prices are inclusive of the applicable German value-added tax (Mehrwertsteuer, currently 19%).</w:t>
      </w:r>
    </w:p>
    <w:p>
      <w:pPr>
        <w:numPr>
          <w:ilvl w:val="0"/>
          <w:numId w:val="1001"/>
        </w:numPr>
        <w:pStyle w:val="Compact"/>
      </w:pPr>
      <w:r>
        <w:t xml:space="preserve">The patient is responsible for maintaining oral hygiene and attending all scheduled adjustment appointments. Missed appointments may result in additional fees as per the practice's cancellation policy.</w:t>
      </w:r>
    </w:p>
    <w:p>
      <w:pPr>
        <w:numPr>
          <w:ilvl w:val="0"/>
          <w:numId w:val="1001"/>
        </w:numPr>
        <w:pStyle w:val="Compact"/>
      </w:pPr>
      <w:r>
        <w:t xml:space="preserve">This Quotation Estimate does not constitute a binding treatment contract. A separate informed consent form and treatment agreement will be signed prior to the initiation of orthodontic therapy.</w:t>
      </w:r>
    </w:p>
    <w:p>
      <w:pPr>
        <w:numPr>
          <w:ilvl w:val="0"/>
          <w:numId w:val="1001"/>
        </w:numPr>
        <w:pStyle w:val="Compact"/>
      </w:pPr>
      <w:r>
        <w:t xml:space="preserve">In the event of early termination of treatment, a pro-rata adjustment to the Quotation Estimate will be calculated and communicated in writing.</w:t>
      </w:r>
    </w:p>
    <w:p>
      <w:pPr>
        <w:numPr>
          <w:ilvl w:val="0"/>
          <w:numId w:val="1001"/>
        </w:numPr>
        <w:pStyle w:val="Compact"/>
      </w:pPr>
      <w:r>
        <w:t xml:space="preserve">All data processing in connection with this Quotation Estimate complies with the EU General Data Protection Regulation (GDPR / DSGVO) and the German Federal Data Protection Act (BDSG).</w:t>
      </w:r>
    </w:p>
    <w:p>
      <w:pPr>
        <w:pStyle w:val="FirstParagraph"/>
      </w:pPr>
      <w:r>
        <w:t xml:space="preserve">5. Acceptance &amp; Signatures</w:t>
      </w:r>
    </w:p>
    <w:p>
      <w:pPr>
        <w:pStyle w:val="BodyText"/>
      </w:pPr>
      <w:r>
        <w:t xml:space="preserve">By signing below, the patient acknowledges receipt of this Quotation Estimate from the Orthodontist practice in Germany Munich and confirms understanding of the estimated costs, insurance coverage, and terms outlined above. This signature does not obligate the patient to commence treatment but serves as confirmation that the Quotation Estimate has been reviewed and understood.</w:t>
      </w:r>
    </w:p>
    <w:p>
      <w:pPr>
        <w:pStyle w:val="BodyText"/>
      </w:pPr>
      <w:r>
        <w:t xml:space="preserve">Patient Signature &amp; Date</w:t>
      </w:r>
    </w:p>
    <w:p>
      <w:pPr>
        <w:pStyle w:val="BodyText"/>
      </w:pPr>
      <w:r>
        <w:t xml:space="preserve">Name: ______________________________</w:t>
      </w:r>
    </w:p>
    <w:p>
      <w:pPr>
        <w:pStyle w:val="BodyText"/>
      </w:pPr>
      <w:r>
        <w:t xml:space="preserve">Dr. med. dent. Katharina Vogel – Orthodontist, Germany Munich</w:t>
      </w:r>
    </w:p>
    <w:p>
      <w:pPr>
        <w:pStyle w:val="BodyText"/>
      </w:pPr>
      <w:r>
        <w:t xml:space="preserve">Seal &amp; Date</w:t>
      </w:r>
    </w:p>
    <w:p>
      <w:pPr>
        <w:pStyle w:val="BodyText"/>
      </w:pPr>
      <w:r>
        <w:t xml:space="preserve">Dr. med. dent. Katharina Vogel – Orthodontist &amp; Dental Practice | Maximilianstraße 42, 80539 Munich, Germany</w:t>
      </w:r>
    </w:p>
    <w:p>
      <w:pPr>
        <w:pStyle w:val="BodyText"/>
      </w:pPr>
      <w:r>
        <w:t xml:space="preserve">Quotation Estimate No. QE-2025-04871 | Generated on 15 June 2025 | Page 1 of 1</w:t>
      </w:r>
    </w:p>
    <w:p>
      <w:pPr>
        <w:pStyle w:val="BodyText"/>
      </w:pPr>
      <w:r>
        <w:t xml:space="preserve">This document is a Quotation Estimate issued by a registered Orthodontist practice in Germany Munich and is subject to the German Medical Professional Act (MBO-DE) and applicable dental fee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Germany Munich</dc:title>
  <dc:creator/>
  <dc:language>en</dc:language>
  <cp:keywords/>
  <dcterms:created xsi:type="dcterms:W3CDTF">2026-10-10T06:10:52Z</dcterms:created>
  <dcterms:modified xsi:type="dcterms:W3CDTF">2026-10-10T06:10:52Z</dcterms:modified>
</cp:coreProperties>
</file>

<file path=docProps/custom.xml><?xml version="1.0" encoding="utf-8"?>
<Properties xmlns="http://schemas.openxmlformats.org/officeDocument/2006/custom-properties" xmlns:vt="http://schemas.openxmlformats.org/officeDocument/2006/docPropsVTypes"/>
</file>