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quotation-estimate"/>
    <w:p>
      <w:pPr>
        <w:pStyle w:val="Heading1"/>
      </w:pPr>
      <w:r>
        <w:t xml:space="preserve">Quotation Estimate</w:t>
      </w:r>
    </w:p>
    <w:p>
      <w:pPr>
        <w:pStyle w:val="FirstParagraph"/>
      </w:pPr>
      <w:r>
        <w:t xml:space="preserve">Orthodontic Treatment Services</w:t>
      </w:r>
    </w:p>
    <w:p>
      <w:pPr>
        <w:pStyle w:val="BodyText"/>
      </w:pPr>
      <w:r>
        <w:t xml:space="preserve">SmileCraft Orthodontics &amp; Dental Care Centre</w:t>
      </w:r>
    </w:p>
    <w:p>
      <w:pPr>
        <w:pStyle w:val="BodyText"/>
      </w:pPr>
      <w:r>
        <w:t xml:space="preserve">No. 42, 100 Feet Road, Indiranagar, Bangalore, Karnataka – 560038, India</w:t>
      </w:r>
    </w:p>
    <w:p>
      <w:pPr>
        <w:pStyle w:val="BodyText"/>
      </w:pPr>
      <w:r>
        <w:t xml:space="preserve">Phone: +91-80-4123-5678 | Email: estimates@smilecraftbangalore.in</w:t>
      </w:r>
    </w:p>
    <w:p>
      <w:pPr>
        <w:pStyle w:val="BodyText"/>
      </w:pPr>
      <w:r>
        <w:t xml:space="preserve">Valid for 30 Days</w:t>
      </w:r>
    </w:p>
    <w:bookmarkEnd w:id="20"/>
    <w:p>
      <w:pPr>
        <w:pStyle w:val="BodyText"/>
      </w:pPr>
      <w:r>
        <w:rPr>
          <w:bCs/>
          <w:b/>
        </w:rPr>
        <w:t xml:space="preserve">Quotation No.:</w:t>
      </w:r>
      <w:r>
        <w:t xml:space="preserve"> </w:t>
      </w:r>
      <w:r>
        <w:t xml:space="preserve">QTE/ORT/2025/04872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Mr. Arjun Ramesh Kumar</w:t>
      </w:r>
      <w:r>
        <w:br/>
      </w:r>
      <w:r>
        <w:t xml:space="preserve">27, 4th Cross, HSR Layout, Sector 2</w:t>
      </w:r>
      <w:r>
        <w:br/>
      </w:r>
      <w:r>
        <w:t xml:space="preserve">Bangalore, Karnataka – 560102, India</w:t>
      </w:r>
      <w:r>
        <w:br/>
      </w:r>
      <w:r>
        <w:t xml:space="preserve">Phone: +91-98765-43210</w:t>
      </w:r>
    </w:p>
    <w:p>
      <w:pPr>
        <w:pStyle w:val="BodyText"/>
      </w:pPr>
      <w:r>
        <w:t xml:space="preserve">1. Patient &amp; Clinical Summary</w:t>
      </w:r>
    </w:p>
    <w:p>
      <w:pPr>
        <w:pStyle w:val="BodyText"/>
      </w:pPr>
      <w:r>
        <w:t xml:space="preserve">This Quotation Estimate has been prepared by our senior Orthodontist, Dr. Meera Nair (MDS, Orthodontics &amp; Dentofacial Orthopaedics, Gold Medalist – Bangalore University), following a comprehensive clinical examination conducted on 10 June 2025 at our clinic in Bangalore, India. The patient presents with Class II malocclusion, moderate crowding in the mandibular arch, and a 3 mm overjet. After thorough radiographic analysis (OPG and cephalometric tracing) and intraoral impressions, the Orthodontist has recommended a full-course fixed orthodontic treatment plan as detailed below.</w:t>
      </w:r>
    </w:p>
    <w:p>
      <w:pPr>
        <w:pStyle w:val="BodyText"/>
      </w:pPr>
      <w:r>
        <w:t xml:space="preserve">2. Itemised Quotation Estimate – Treatment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Procedure</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Initial Consultation &amp; Diagnostic Workup (OPG, Cephalo, Intraoral Photos, Digital Scans)</w:t>
            </w:r>
          </w:p>
        </w:tc>
        <w:tc>
          <w:tcPr/>
          <w:p>
            <w:pPr>
              <w:pStyle w:val="Compact"/>
              <w:jc w:val="left"/>
            </w:pPr>
            <w:r>
              <w:t xml:space="preserve">1</w:t>
            </w:r>
          </w:p>
        </w:tc>
        <w:tc>
          <w:tcPr/>
          <w:p>
            <w:pPr>
              <w:pStyle w:val="Compact"/>
              <w:jc w:val="left"/>
            </w:pPr>
            <w:r>
              <w:t xml:space="preserve">₹ 3,500</w:t>
            </w:r>
          </w:p>
        </w:tc>
        <w:tc>
          <w:tcPr/>
          <w:p>
            <w:pPr>
              <w:pStyle w:val="Compact"/>
              <w:jc w:val="left"/>
            </w:pPr>
            <w:r>
              <w:t xml:space="preserve">₹ 3,500</w:t>
            </w:r>
          </w:p>
        </w:tc>
        <w:tc>
          <w:tcPr/>
          <w:p>
            <w:pPr>
              <w:pStyle w:val="Compact"/>
              <w:jc w:val="left"/>
            </w:pPr>
            <w:r>
              <w:t xml:space="preserve">One-time</w:t>
            </w:r>
          </w:p>
        </w:tc>
      </w:tr>
      <w:tr>
        <w:tc>
          <w:tcPr/>
          <w:p>
            <w:pPr>
              <w:pStyle w:val="Compact"/>
              <w:jc w:val="left"/>
            </w:pPr>
            <w:r>
              <w:t xml:space="preserve">2</w:t>
            </w:r>
          </w:p>
        </w:tc>
        <w:tc>
          <w:tcPr/>
          <w:p>
            <w:pPr>
              <w:pStyle w:val="Compact"/>
              <w:jc w:val="left"/>
            </w:pPr>
            <w:r>
              <w:t xml:space="preserve">Fixed Metal Braces – Upper Arch (14 brackets + bands + archwires)</w:t>
            </w:r>
          </w:p>
        </w:tc>
        <w:tc>
          <w:tcPr/>
          <w:p>
            <w:pPr>
              <w:pStyle w:val="Compact"/>
              <w:jc w:val="left"/>
            </w:pPr>
            <w:r>
              <w:t xml:space="preserve">1</w:t>
            </w:r>
          </w:p>
        </w:tc>
        <w:tc>
          <w:tcPr/>
          <w:p>
            <w:pPr>
              <w:pStyle w:val="Compact"/>
              <w:jc w:val="left"/>
            </w:pPr>
            <w:r>
              <w:t xml:space="preserve">₹ 45,000</w:t>
            </w:r>
          </w:p>
        </w:tc>
        <w:tc>
          <w:tcPr/>
          <w:p>
            <w:pPr>
              <w:pStyle w:val="Compact"/>
              <w:jc w:val="left"/>
            </w:pPr>
            <w:r>
              <w:t xml:space="preserve">₹ 45,000</w:t>
            </w:r>
          </w:p>
        </w:tc>
        <w:tc>
          <w:tcPr/>
          <w:p>
            <w:pPr>
              <w:pStyle w:val="Compact"/>
              <w:jc w:val="left"/>
            </w:pPr>
            <w:r>
              <w:t xml:space="preserve">DBA 0016</w:t>
            </w:r>
          </w:p>
        </w:tc>
      </w:tr>
      <w:tr>
        <w:tc>
          <w:tcPr/>
          <w:p>
            <w:pPr>
              <w:pStyle w:val="Compact"/>
              <w:jc w:val="left"/>
            </w:pPr>
            <w:r>
              <w:t xml:space="preserve">3</w:t>
            </w:r>
          </w:p>
        </w:tc>
        <w:tc>
          <w:tcPr/>
          <w:p>
            <w:pPr>
              <w:pStyle w:val="Compact"/>
              <w:jc w:val="left"/>
            </w:pPr>
            <w:r>
              <w:t xml:space="preserve">Fixed Metal Braces – Lower Arch (14 brackets + bands + archwires)</w:t>
            </w:r>
          </w:p>
        </w:tc>
        <w:tc>
          <w:tcPr/>
          <w:p>
            <w:pPr>
              <w:pStyle w:val="Compact"/>
              <w:jc w:val="left"/>
            </w:pPr>
            <w:r>
              <w:t xml:space="preserve">1</w:t>
            </w:r>
          </w:p>
        </w:tc>
        <w:tc>
          <w:tcPr/>
          <w:p>
            <w:pPr>
              <w:pStyle w:val="Compact"/>
              <w:jc w:val="left"/>
            </w:pPr>
            <w:r>
              <w:t xml:space="preserve">₹ 45,000</w:t>
            </w:r>
          </w:p>
        </w:tc>
        <w:tc>
          <w:tcPr/>
          <w:p>
            <w:pPr>
              <w:pStyle w:val="Compact"/>
              <w:jc w:val="left"/>
            </w:pPr>
            <w:r>
              <w:t xml:space="preserve">₹ 45,000</w:t>
            </w:r>
          </w:p>
        </w:tc>
        <w:tc>
          <w:tcPr/>
          <w:p>
            <w:pPr>
              <w:pStyle w:val="Compact"/>
              <w:jc w:val="left"/>
            </w:pPr>
            <w:r>
              <w:t xml:space="preserve">DBA 0016</w:t>
            </w:r>
          </w:p>
        </w:tc>
      </w:tr>
      <w:tr>
        <w:tc>
          <w:tcPr/>
          <w:p>
            <w:pPr>
              <w:pStyle w:val="Compact"/>
              <w:jc w:val="left"/>
            </w:pPr>
            <w:r>
              <w:t xml:space="preserve">4</w:t>
            </w:r>
          </w:p>
        </w:tc>
        <w:tc>
          <w:tcPr/>
          <w:p>
            <w:pPr>
              <w:pStyle w:val="Compact"/>
              <w:jc w:val="left"/>
            </w:pPr>
            <w:r>
              <w:t xml:space="preserve">Interproximal Reduction (IPR) – both arches (up to 20 surfaces)</w:t>
            </w:r>
          </w:p>
        </w:tc>
        <w:tc>
          <w:tcPr/>
          <w:p>
            <w:pPr>
              <w:pStyle w:val="Compact"/>
              <w:jc w:val="left"/>
            </w:pPr>
            <w:r>
              <w:t xml:space="preserve">1</w:t>
            </w:r>
          </w:p>
        </w:tc>
        <w:tc>
          <w:tcPr/>
          <w:p>
            <w:pPr>
              <w:pStyle w:val="Compact"/>
              <w:jc w:val="left"/>
            </w:pPr>
            <w:r>
              <w:t xml:space="preserve">₹ 8,000</w:t>
            </w:r>
          </w:p>
        </w:tc>
        <w:tc>
          <w:tcPr/>
          <w:p>
            <w:pPr>
              <w:pStyle w:val="Compact"/>
              <w:jc w:val="left"/>
            </w:pPr>
            <w:r>
              <w:t xml:space="preserve">₹ 8,000</w:t>
            </w:r>
          </w:p>
        </w:tc>
        <w:tc>
          <w:tcPr/>
          <w:p>
            <w:pPr>
              <w:pStyle w:val="Compact"/>
              <w:jc w:val="left"/>
            </w:pPr>
            <w:r>
              <w:t xml:space="preserve">As needed</w:t>
            </w:r>
          </w:p>
        </w:tc>
      </w:tr>
      <w:tr>
        <w:tc>
          <w:tcPr/>
          <w:p>
            <w:pPr>
              <w:pStyle w:val="Compact"/>
              <w:jc w:val="left"/>
            </w:pPr>
            <w:r>
              <w:t xml:space="preserve">5</w:t>
            </w:r>
          </w:p>
        </w:tc>
        <w:tc>
          <w:tcPr/>
          <w:p>
            <w:pPr>
              <w:pStyle w:val="Compact"/>
              <w:jc w:val="left"/>
            </w:pPr>
            <w:r>
              <w:t xml:space="preserve">Monthly Orthodontic Adjustments &amp; Wire Changes (18 months estimated)</w:t>
            </w:r>
          </w:p>
        </w:tc>
        <w:tc>
          <w:tcPr/>
          <w:p>
            <w:pPr>
              <w:pStyle w:val="Compact"/>
              <w:jc w:val="left"/>
            </w:pPr>
            <w:r>
              <w:t xml:space="preserve">18</w:t>
            </w:r>
          </w:p>
        </w:tc>
        <w:tc>
          <w:tcPr/>
          <w:p>
            <w:pPr>
              <w:pStyle w:val="Compact"/>
              <w:jc w:val="left"/>
            </w:pPr>
            <w:r>
              <w:t xml:space="preserve">₹ 2,500</w:t>
            </w:r>
          </w:p>
        </w:tc>
        <w:tc>
          <w:tcPr/>
          <w:p>
            <w:pPr>
              <w:pStyle w:val="Compact"/>
              <w:jc w:val="left"/>
            </w:pPr>
            <w:r>
              <w:t xml:space="preserve">₹ 45,000</w:t>
            </w:r>
          </w:p>
        </w:tc>
        <w:tc>
          <w:tcPr/>
          <w:p>
            <w:pPr>
              <w:pStyle w:val="Compact"/>
              <w:jc w:val="left"/>
            </w:pPr>
            <w:r>
              <w:t xml:space="preserve">Every 4–6 weeks</w:t>
            </w:r>
          </w:p>
        </w:tc>
      </w:tr>
      <w:tr>
        <w:tc>
          <w:tcPr/>
          <w:p>
            <w:pPr>
              <w:pStyle w:val="Compact"/>
              <w:jc w:val="left"/>
            </w:pPr>
            <w:r>
              <w:t xml:space="preserve">6</w:t>
            </w:r>
          </w:p>
        </w:tc>
        <w:tc>
          <w:tcPr/>
          <w:p>
            <w:pPr>
              <w:pStyle w:val="Compact"/>
              <w:jc w:val="left"/>
            </w:pPr>
            <w:r>
              <w:t xml:space="preserve">Removable Retainers (Hawley type) – Upper &amp; Lower</w:t>
            </w:r>
          </w:p>
        </w:tc>
        <w:tc>
          <w:tcPr/>
          <w:p>
            <w:pPr>
              <w:pStyle w:val="Compact"/>
              <w:jc w:val="left"/>
            </w:pPr>
            <w:r>
              <w:t xml:space="preserve">2</w:t>
            </w:r>
          </w:p>
        </w:tc>
        <w:tc>
          <w:tcPr/>
          <w:p>
            <w:pPr>
              <w:pStyle w:val="Compact"/>
              <w:jc w:val="left"/>
            </w:pPr>
            <w:r>
              <w:t xml:space="preserve">₹ 4,500</w:t>
            </w:r>
          </w:p>
        </w:tc>
        <w:tc>
          <w:tcPr/>
          <w:p>
            <w:pPr>
              <w:pStyle w:val="Compact"/>
              <w:jc w:val="left"/>
            </w:pPr>
            <w:r>
              <w:t xml:space="preserve">₹ 9,000</w:t>
            </w:r>
          </w:p>
        </w:tc>
        <w:tc>
          <w:tcPr/>
          <w:p>
            <w:pPr>
              <w:pStyle w:val="Compact"/>
              <w:jc w:val="left"/>
            </w:pPr>
            <w:r>
              <w:t xml:space="preserve">Post-debonding</w:t>
            </w:r>
          </w:p>
        </w:tc>
      </w:tr>
      <w:tr>
        <w:tc>
          <w:tcPr/>
          <w:p>
            <w:pPr>
              <w:pStyle w:val="Compact"/>
              <w:jc w:val="left"/>
            </w:pPr>
            <w:r>
              <w:t xml:space="preserve">7</w:t>
            </w:r>
          </w:p>
        </w:tc>
        <w:tc>
          <w:tcPr/>
          <w:p>
            <w:pPr>
              <w:pStyle w:val="Compact"/>
              <w:jc w:val="left"/>
            </w:pPr>
            <w:r>
              <w:t xml:space="preserve">Debonding, Finishing &amp; Polishing (both arches)</w:t>
            </w:r>
          </w:p>
        </w:tc>
        <w:tc>
          <w:tcPr/>
          <w:p>
            <w:pPr>
              <w:pStyle w:val="Compact"/>
              <w:jc w:val="left"/>
            </w:pPr>
            <w:r>
              <w:t xml:space="preserve">1</w:t>
            </w:r>
          </w:p>
        </w:tc>
        <w:tc>
          <w:tcPr/>
          <w:p>
            <w:pPr>
              <w:pStyle w:val="Compact"/>
              <w:jc w:val="left"/>
            </w:pPr>
            <w:r>
              <w:t xml:space="preserve">₹ 6,000</w:t>
            </w:r>
          </w:p>
        </w:tc>
        <w:tc>
          <w:tcPr/>
          <w:p>
            <w:pPr>
              <w:pStyle w:val="Compact"/>
              <w:jc w:val="left"/>
            </w:pPr>
            <w:r>
              <w:t xml:space="preserve">₹ 6,000</w:t>
            </w:r>
          </w:p>
        </w:tc>
        <w:tc>
          <w:tcPr/>
          <w:p>
            <w:pPr>
              <w:pStyle w:val="Compact"/>
              <w:jc w:val="left"/>
            </w:pPr>
            <w:r>
              <w:t xml:space="preserve">Final visit</w:t>
            </w:r>
          </w:p>
        </w:tc>
      </w:tr>
      <w:tr>
        <w:tc>
          <w:tcPr/>
          <w:p>
            <w:pPr>
              <w:pStyle w:val="Compact"/>
              <w:jc w:val="left"/>
            </w:pPr>
            <w:r>
              <w:t xml:space="preserve">8</w:t>
            </w:r>
          </w:p>
        </w:tc>
        <w:tc>
          <w:tcPr/>
          <w:p>
            <w:pPr>
              <w:pStyle w:val="Compact"/>
              <w:jc w:val="left"/>
            </w:pPr>
            <w:r>
              <w:t xml:space="preserve">Post-Treatment Review &amp; Retainer Adjustments (6 months)</w:t>
            </w:r>
          </w:p>
        </w:tc>
        <w:tc>
          <w:tcPr/>
          <w:p>
            <w:pPr>
              <w:pStyle w:val="Compact"/>
              <w:jc w:val="left"/>
            </w:pPr>
            <w:r>
              <w:t xml:space="preserve">3</w:t>
            </w:r>
          </w:p>
        </w:tc>
        <w:tc>
          <w:tcPr/>
          <w:p>
            <w:pPr>
              <w:pStyle w:val="Compact"/>
              <w:jc w:val="left"/>
            </w:pPr>
            <w:r>
              <w:t xml:space="preserve">₹ 1,500</w:t>
            </w:r>
          </w:p>
        </w:tc>
        <w:tc>
          <w:tcPr/>
          <w:p>
            <w:pPr>
              <w:pStyle w:val="Compact"/>
              <w:jc w:val="left"/>
            </w:pPr>
            <w:r>
              <w:t xml:space="preserve">₹ 4,500</w:t>
            </w:r>
          </w:p>
        </w:tc>
        <w:tc>
          <w:tcPr/>
          <w:p>
            <w:pPr>
              <w:pStyle w:val="Compact"/>
              <w:jc w:val="left"/>
            </w:pPr>
            <w:r>
              <w:t xml:space="preserve">At 1, 3 &amp; 6 months</w:t>
            </w:r>
          </w:p>
        </w:tc>
      </w:tr>
      <w:tr>
        <w:tc>
          <w:tcPr/>
          <w:p>
            <w:pPr>
              <w:pStyle w:val="Compact"/>
              <w:jc w:val="left"/>
            </w:pPr>
            <w:r>
              <w:t xml:space="preserve">9</w:t>
            </w:r>
          </w:p>
        </w:tc>
        <w:tc>
          <w:tcPr/>
          <w:p>
            <w:pPr>
              <w:pStyle w:val="Compact"/>
              <w:jc w:val="left"/>
            </w:pPr>
            <w:r>
              <w:t xml:space="preserve">Emergency / Breakage Repairs (up to 3 incidents)</w:t>
            </w:r>
          </w:p>
        </w:tc>
        <w:tc>
          <w:tcPr/>
          <w:p>
            <w:pPr>
              <w:pStyle w:val="Compact"/>
              <w:jc w:val="left"/>
            </w:pPr>
            <w:r>
              <w:t xml:space="preserve">3</w:t>
            </w:r>
          </w:p>
        </w:tc>
        <w:tc>
          <w:tcPr/>
          <w:p>
            <w:pPr>
              <w:pStyle w:val="Compact"/>
              <w:jc w:val="left"/>
            </w:pPr>
            <w:r>
              <w:t xml:space="preserve">₹ 1,000</w:t>
            </w:r>
          </w:p>
        </w:tc>
        <w:tc>
          <w:tcPr/>
          <w:p>
            <w:pPr>
              <w:pStyle w:val="Compact"/>
              <w:jc w:val="left"/>
            </w:pPr>
            <w:r>
              <w:t xml:space="preserve">₹ 3,000</w:t>
            </w:r>
          </w:p>
        </w:tc>
        <w:tc>
          <w:tcPr/>
          <w:p>
            <w:pPr>
              <w:pStyle w:val="Compact"/>
              <w:jc w:val="left"/>
            </w:pPr>
            <w:r>
              <w:t xml:space="preserve">Bracket/wire re-cement</w:t>
            </w:r>
          </w:p>
        </w:tc>
      </w:tr>
      <w:tr>
        <w:tc>
          <w:tcPr>
            <w:gridSpan w:val="4"/>
          </w:tcPr>
          <w:p>
            <w:pPr>
              <w:pStyle w:val="Compact"/>
              <w:jc w:val="right"/>
            </w:pPr>
            <w:r>
              <w:t xml:space="preserve">Subtotal</w:t>
            </w:r>
          </w:p>
        </w:tc>
        <w:tc>
          <w:tcPr/>
          <w:p>
            <w:pPr>
              <w:pStyle w:val="Compact"/>
              <w:jc w:val="left"/>
            </w:pPr>
            <w:r>
              <w:t xml:space="preserve">₹ 169,000</w:t>
            </w:r>
          </w:p>
        </w:tc>
        <w:tc>
          <w:tcPr/>
          <w:p>
            <w:pPr>
              <w:pStyle w:val="Compact"/>
            </w:pPr>
          </w:p>
        </w:tc>
      </w:tr>
      <w:tr>
        <w:tc>
          <w:tcPr>
            <w:gridSpan w:val="4"/>
          </w:tcPr>
          <w:p>
            <w:pPr>
              <w:pStyle w:val="Compact"/>
              <w:jc w:val="right"/>
            </w:pPr>
            <w:r>
              <w:t xml:space="preserve">GST @ 18% (as applicable in India)</w:t>
            </w:r>
          </w:p>
        </w:tc>
        <w:tc>
          <w:tcPr/>
          <w:p>
            <w:pPr>
              <w:pStyle w:val="Compact"/>
              <w:jc w:val="left"/>
            </w:pPr>
            <w:r>
              <w:t xml:space="preserve">₹ 30,420</w:t>
            </w:r>
          </w:p>
        </w:tc>
        <w:tc>
          <w:tcPr/>
          <w:p>
            <w:pPr>
              <w:pStyle w:val="Compact"/>
            </w:pPr>
          </w:p>
        </w:tc>
      </w:tr>
      <w:tr>
        <w:tc>
          <w:tcPr>
            <w:gridSpan w:val="4"/>
          </w:tcPr>
          <w:p>
            <w:pPr>
              <w:pStyle w:val="Compact"/>
              <w:jc w:val="right"/>
            </w:pPr>
            <w:r>
              <w:t xml:space="preserve">Grand Total (Quotation Estimate)</w:t>
            </w:r>
          </w:p>
        </w:tc>
        <w:tc>
          <w:tcPr/>
          <w:p>
            <w:pPr>
              <w:pStyle w:val="Compact"/>
              <w:jc w:val="left"/>
            </w:pPr>
            <w:r>
              <w:t xml:space="preserve">₹ 199,420</w:t>
            </w:r>
          </w:p>
        </w:tc>
        <w:tc>
          <w:tcPr/>
          <w:p>
            <w:pPr>
              <w:pStyle w:val="Compact"/>
            </w:pPr>
          </w:p>
        </w:tc>
      </w:tr>
    </w:tbl>
    <w:p>
      <w:pPr>
        <w:pStyle w:val="BodyText"/>
      </w:pPr>
      <w:r>
        <w:t xml:space="preserve">3.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Amount (INR)</w:t>
            </w:r>
          </w:p>
        </w:tc>
        <w:tc>
          <w:tcPr/>
          <w:p>
            <w:pPr>
              <w:pStyle w:val="Compact"/>
              <w:jc w:val="left"/>
            </w:pPr>
            <w:r>
              <w:t xml:space="preserve">Due Date</w:t>
            </w:r>
          </w:p>
        </w:tc>
      </w:tr>
      <w:tr>
        <w:tc>
          <w:tcPr/>
          <w:p>
            <w:pPr>
              <w:pStyle w:val="Compact"/>
              <w:jc w:val="left"/>
            </w:pPr>
            <w:r>
              <w:t xml:space="preserve">Advance (on signing this Quotation Estimate)</w:t>
            </w:r>
          </w:p>
        </w:tc>
        <w:tc>
          <w:tcPr/>
          <w:p>
            <w:pPr>
              <w:pStyle w:val="Compact"/>
              <w:jc w:val="left"/>
            </w:pPr>
            <w:r>
              <w:t xml:space="preserve">₹ 50,000</w:t>
            </w:r>
          </w:p>
        </w:tc>
        <w:tc>
          <w:tcPr/>
          <w:p>
            <w:pPr>
              <w:pStyle w:val="Compact"/>
              <w:jc w:val="left"/>
            </w:pPr>
            <w:r>
              <w:t xml:space="preserve">15 June 2025</w:t>
            </w:r>
          </w:p>
        </w:tc>
      </w:tr>
      <w:tr>
        <w:tc>
          <w:tcPr/>
          <w:p>
            <w:pPr>
              <w:pStyle w:val="Compact"/>
              <w:jc w:val="left"/>
            </w:pPr>
            <w:r>
              <w:t xml:space="preserve">Second instalment (after 6 months of treatment)</w:t>
            </w:r>
          </w:p>
        </w:tc>
        <w:tc>
          <w:tcPr/>
          <w:p>
            <w:pPr>
              <w:pStyle w:val="Compact"/>
              <w:jc w:val="left"/>
            </w:pPr>
            <w:r>
              <w:t xml:space="preserve">₹ 75,000</w:t>
            </w:r>
          </w:p>
        </w:tc>
        <w:tc>
          <w:tcPr/>
          <w:p>
            <w:pPr>
              <w:pStyle w:val="Compact"/>
              <w:jc w:val="left"/>
            </w:pPr>
            <w:r>
              <w:t xml:space="preserve">Dec 2025</w:t>
            </w:r>
          </w:p>
        </w:tc>
      </w:tr>
      <w:tr>
        <w:tc>
          <w:tcPr/>
          <w:p>
            <w:pPr>
              <w:pStyle w:val="Compact"/>
              <w:jc w:val="left"/>
            </w:pPr>
            <w:r>
              <w:t xml:space="preserve">Third instalment (after 12 months of treatment)</w:t>
            </w:r>
          </w:p>
        </w:tc>
        <w:tc>
          <w:tcPr/>
          <w:p>
            <w:pPr>
              <w:pStyle w:val="Compact"/>
              <w:jc w:val="left"/>
            </w:pPr>
            <w:r>
              <w:t xml:space="preserve">₹ 50,000</w:t>
            </w:r>
          </w:p>
        </w:tc>
        <w:tc>
          <w:tcPr/>
          <w:p>
            <w:pPr>
              <w:pStyle w:val="Compact"/>
              <w:jc w:val="left"/>
            </w:pPr>
            <w:r>
              <w:t xml:space="preserve">Jun 2026</w:t>
            </w:r>
          </w:p>
        </w:tc>
      </w:tr>
      <w:tr>
        <w:tc>
          <w:tcPr/>
          <w:p>
            <w:pPr>
              <w:pStyle w:val="Compact"/>
              <w:jc w:val="left"/>
            </w:pPr>
            <w:r>
              <w:t xml:space="preserve">Final payment (at debonding)</w:t>
            </w:r>
          </w:p>
        </w:tc>
        <w:tc>
          <w:tcPr/>
          <w:p>
            <w:pPr>
              <w:pStyle w:val="Compact"/>
              <w:jc w:val="left"/>
            </w:pPr>
            <w:r>
              <w:t xml:space="preserve">₹ 24,420</w:t>
            </w:r>
          </w:p>
        </w:tc>
        <w:tc>
          <w:tcPr/>
          <w:p>
            <w:pPr>
              <w:pStyle w:val="Compact"/>
              <w:jc w:val="left"/>
            </w:pPr>
            <w:r>
              <w:t xml:space="preserve">Dec 2026</w:t>
            </w:r>
          </w:p>
        </w:tc>
      </w:tr>
    </w:tbl>
    <w:p>
      <w:pPr>
        <w:pStyle w:val="BodyText"/>
      </w:pPr>
      <w:r>
        <w:t xml:space="preserve">4. Terms &amp; Conditions</w:t>
      </w:r>
    </w:p>
    <w:p>
      <w:pPr>
        <w:pStyle w:val="BodyText"/>
      </w:pPr>
      <w:r>
        <w:rPr>
          <w:bCs/>
          <w:b/>
        </w:rPr>
        <w:t xml:space="preserve">4.1</w:t>
      </w:r>
      <w:r>
        <w:t xml:space="preserve"> </w:t>
      </w:r>
      <w:r>
        <w:t xml:space="preserve">This Quotation Estimate is valid for a period of thirty (30) calendar days from the date of issue. Beyond this period, the Orthodontist reserves the right to revise pricing based on material cost fluctuations in the Indian dental supply market.</w:t>
      </w:r>
    </w:p>
    <w:p>
      <w:pPr>
        <w:pStyle w:val="BodyText"/>
      </w:pPr>
      <w:r>
        <w:rPr>
          <w:bCs/>
          <w:b/>
        </w:rPr>
        <w:t xml:space="preserve">4.2</w:t>
      </w:r>
      <w:r>
        <w:t xml:space="preserve"> </w:t>
      </w:r>
      <w:r>
        <w:t xml:space="preserve">The total treatment duration is estimated at 18 months; however, the Orthodontist in Bangalore, India, may extend or shorten the timeline based on the patient's biological response and compliance with oral hygiene instructions.</w:t>
      </w:r>
    </w:p>
    <w:p>
      <w:pPr>
        <w:pStyle w:val="BodyText"/>
      </w:pPr>
      <w:r>
        <w:rPr>
          <w:bCs/>
          <w:b/>
        </w:rPr>
        <w:t xml:space="preserve">4.3</w:t>
      </w:r>
      <w:r>
        <w:t xml:space="preserve"> </w:t>
      </w:r>
      <w:r>
        <w:t xml:space="preserve">All fees quoted are inclusive of standard materials. Any additional procedures (e.g., extractions, surgical orthodontics, or temporary anchorage devices) will be communicated separately with a revised Quotation Estimate before commencement.</w:t>
      </w:r>
    </w:p>
    <w:p>
      <w:pPr>
        <w:pStyle w:val="BodyText"/>
      </w:pPr>
      <w:r>
        <w:rPr>
          <w:bCs/>
          <w:b/>
        </w:rPr>
        <w:t xml:space="preserve">4.4</w:t>
      </w:r>
      <w:r>
        <w:t xml:space="preserve"> </w:t>
      </w:r>
      <w:r>
        <w:t xml:space="preserve">The patient agrees to attend all scheduled appointments. Missed appointments beyond two consecutive visits may result in a re-scheduling fee of ₹ 1,000 per instance.</w:t>
      </w:r>
    </w:p>
    <w:p>
      <w:pPr>
        <w:pStyle w:val="BodyText"/>
      </w:pPr>
      <w:r>
        <w:rPr>
          <w:bCs/>
          <w:b/>
        </w:rPr>
        <w:t xml:space="preserve">4.5</w:t>
      </w:r>
      <w:r>
        <w:t xml:space="preserve"> </w:t>
      </w:r>
      <w:r>
        <w:t xml:space="preserve">In the event of early discontinuation of treatment, a non-refundable processing fee of 15% of the remaining balance shall be applicable, as per the standard practice of Orthodontist clinics in India Bangalore.</w:t>
      </w:r>
    </w:p>
    <w:p>
      <w:pPr>
        <w:pStyle w:val="BodyText"/>
      </w:pPr>
      <w:r>
        <w:rPr>
          <w:bCs/>
          <w:b/>
        </w:rPr>
        <w:t xml:space="preserve">4.6</w:t>
      </w:r>
      <w:r>
        <w:t xml:space="preserve"> </w:t>
      </w:r>
      <w:r>
        <w:t xml:space="preserve">This Quotation Estimate does not constitute a guarantee of specific aesthetic outcomes. The Orthodontist will use best clinical judgement in line with the Indian Dental Association (IDA) ethical guidelines.</w:t>
      </w:r>
    </w:p>
    <w:p>
      <w:pPr>
        <w:pStyle w:val="BodyText"/>
      </w:pPr>
      <w:r>
        <w:rPr>
          <w:bCs/>
          <w:b/>
        </w:rPr>
        <w:t xml:space="preserve">4.7</w:t>
      </w:r>
      <w:r>
        <w:t xml:space="preserve"> </w:t>
      </w:r>
      <w:r>
        <w:t xml:space="preserve">All personal health data will be handled in strict compliance with the Digital Personal Data Protection Act, 2023, applicable in India.</w:t>
      </w:r>
    </w:p>
    <w:p>
      <w:pPr>
        <w:pStyle w:val="BodyText"/>
      </w:pPr>
      <w:r>
        <w:rPr>
          <w:bCs/>
          <w:b/>
        </w:rPr>
        <w:t xml:space="preserve">Note:</w:t>
      </w:r>
      <w:r>
        <w:t xml:space="preserve"> </w:t>
      </w:r>
      <w:r>
        <w:t xml:space="preserve">This Quotation Estimate is prepared exclusively for the patient named above and is non-transferable. SmileCraft Orthodontics, Bangalore, India, is a registered dental practice (Karnataka State Dental Council Reg. No. KSDC/2019/4472). For any clarification regarding this estimate, please contact our front desk or the treating Orthodontist directly.</w:t>
      </w:r>
    </w:p>
    <w:p>
      <w:pPr>
        <w:pStyle w:val="BodyText"/>
      </w:pPr>
      <w:r>
        <w:rPr>
          <w:bCs/>
          <w:b/>
        </w:rPr>
        <w:t xml:space="preserve">For SmileCraft Orthodontics</w:t>
      </w:r>
      <w:r>
        <w:br/>
      </w:r>
      <w:r>
        <w:t xml:space="preserve">Dr. Meera Nair, MDS (Ortho)</w:t>
      </w:r>
      <w:r>
        <w:br/>
      </w:r>
      <w:r>
        <w:t xml:space="preserve">Lead Orthodontist, Bangalore, India</w:t>
      </w:r>
    </w:p>
    <w:p>
      <w:pPr>
        <w:pStyle w:val="BodyText"/>
      </w:pPr>
      <w:r>
        <w:rPr>
          <w:bCs/>
          <w:b/>
        </w:rPr>
        <w:t xml:space="preserve">Patient / Guardian Signature</w:t>
      </w:r>
      <w:r>
        <w:br/>
      </w:r>
      <w:r>
        <w:t xml:space="preserve">Mr. Arjun Ramesh Kumar</w:t>
      </w:r>
      <w:r>
        <w:br/>
      </w:r>
      <w:r>
        <w:t xml:space="preserve">Date: _______________</w:t>
      </w:r>
    </w:p>
    <w:p>
      <w:pPr>
        <w:pStyle w:val="BodyText"/>
      </w:pPr>
      <w:r>
        <w:t xml:space="preserve">SmileCraft Orthodontics &amp; Dental Care Centre | Indiranagar, Bangalore, Karnataka, India</w:t>
      </w:r>
    </w:p>
    <w:p>
      <w:pPr>
        <w:pStyle w:val="BodyText"/>
      </w:pPr>
      <w:r>
        <w:t xml:space="preserve">Quotation Estimate No. QTE/ORT/2025/04872 | Page 1 of 1</w:t>
      </w:r>
    </w:p>
    <w:p>
      <w:pPr>
        <w:pStyle w:val="BodyText"/>
      </w:pPr>
      <w:r>
        <w:t xml:space="preserve">This document is generated electronically and does not require a physical stamp. For verification, call +91-80-4123-5678.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Bangalore, India</dc:title>
  <dc:creator/>
  <dc:language>en</dc:language>
  <cp:keywords/>
  <dcterms:created xsi:type="dcterms:W3CDTF">2026-10-10T09:17:02Z</dcterms:created>
  <dcterms:modified xsi:type="dcterms:W3CDTF">2026-10-10T09:17:02Z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