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Orthodontist Professional Services</w:t>
      </w:r>
    </w:p>
    <w:p>
      <w:pPr>
        <w:pStyle w:val="BodyText"/>
      </w:pPr>
      <w:r>
        <w:t xml:space="preserve">Baghdad, Republic of Iraq</w:t>
      </w:r>
    </w:p>
    <w:p>
      <w:pPr>
        <w:pStyle w:val="BodyText"/>
      </w:pPr>
      <w:r>
        <w:t xml:space="preserve">Official Quotation Estimate Document</w:t>
      </w:r>
    </w:p>
    <w:bookmarkEnd w:id="20"/>
    <w:bookmarkStart w:id="21" w:name="provider-details"/>
    <w:p>
      <w:pPr>
        <w:pStyle w:val="Heading3"/>
      </w:pPr>
      <w:r>
        <w:t xml:space="preserve">Provider Details</w:t>
      </w:r>
    </w:p>
    <w:p>
      <w:pPr>
        <w:pStyle w:val="FirstParagraph"/>
      </w:pPr>
      <w:r>
        <w:rPr>
          <w:bCs/>
          <w:b/>
        </w:rPr>
        <w:t xml:space="preserve">Dr. Ahmed Al-Rashid, DDS, MSc</w:t>
      </w:r>
    </w:p>
    <w:p>
      <w:pPr>
        <w:pStyle w:val="BodyText"/>
      </w:pPr>
      <w:r>
        <w:t xml:space="preserve">Lead Orthodontist &amp; Clinic Director</w:t>
      </w:r>
    </w:p>
    <w:p>
      <w:pPr>
        <w:pStyle w:val="BodyText"/>
      </w:pPr>
      <w:r>
        <w:t xml:space="preserve">Al-Mansour Orthodontic Center</w:t>
      </w:r>
    </w:p>
    <w:p>
      <w:pPr>
        <w:pStyle w:val="BodyText"/>
      </w:pPr>
      <w:r>
        <w:t xml:space="preserve">Al-Mansour District, Baghdad, Iraq</w:t>
      </w:r>
    </w:p>
    <w:p>
      <w:pPr>
        <w:pStyle w:val="BodyText"/>
      </w:pPr>
      <w:r>
        <w:t xml:space="preserve">Tel: +964 770 123 4567</w:t>
      </w:r>
    </w:p>
    <w:p>
      <w:pPr>
        <w:pStyle w:val="BodyText"/>
      </w:pPr>
      <w:r>
        <w:t xml:space="preserve">Email: info@almansourortho.iq</w:t>
      </w:r>
    </w:p>
    <w:p>
      <w:pPr>
        <w:pStyle w:val="BodyText"/>
      </w:pPr>
      <w:r>
        <w:t xml:space="preserve">License No. IQ-ORT-2019-0452</w:t>
      </w:r>
    </w:p>
    <w:bookmarkEnd w:id="21"/>
    <w:bookmarkStart w:id="22" w:name="client-patient-details"/>
    <w:p>
      <w:pPr>
        <w:pStyle w:val="Heading3"/>
      </w:pPr>
      <w:r>
        <w:t xml:space="preserve">Client / Patient Details</w:t>
      </w:r>
    </w:p>
    <w:p>
      <w:pPr>
        <w:pStyle w:val="FirstParagraph"/>
      </w:pPr>
      <w:r>
        <w:rPr>
          <w:bCs/>
          <w:b/>
        </w:rPr>
        <w:t xml:space="preserve">Patient Name:</w:t>
      </w:r>
      <w:r>
        <w:t xml:space="preserve"> </w:t>
      </w:r>
      <w:r>
        <w:t xml:space="preserve">[To be completed]</w:t>
      </w:r>
    </w:p>
    <w:p>
      <w:pPr>
        <w:pStyle w:val="BodyText"/>
      </w:pPr>
      <w:r>
        <w:rPr>
          <w:bCs/>
          <w:b/>
        </w:rPr>
        <w:t xml:space="preserve">Age / Gender:</w:t>
      </w:r>
      <w:r>
        <w:t xml:space="preserve"> </w:t>
      </w:r>
      <w:r>
        <w:t xml:space="preserve">[To be completed]</w:t>
      </w:r>
    </w:p>
    <w:p>
      <w:pPr>
        <w:pStyle w:val="BodyText"/>
      </w:pPr>
      <w:r>
        <w:rPr>
          <w:bCs/>
          <w:b/>
        </w:rPr>
        <w:t xml:space="preserve">Address:</w:t>
      </w:r>
      <w:r>
        <w:t xml:space="preserve"> </w:t>
      </w:r>
      <w:r>
        <w:t xml:space="preserve">Baghdad, Iraq</w:t>
      </w:r>
    </w:p>
    <w:p>
      <w:pPr>
        <w:pStyle w:val="BodyText"/>
      </w:pPr>
      <w:r>
        <w:rPr>
          <w:bCs/>
          <w:b/>
        </w:rPr>
        <w:t xml:space="preserve">Phone:</w:t>
      </w:r>
      <w:r>
        <w:t xml:space="preserve"> </w:t>
      </w:r>
      <w:r>
        <w:t xml:space="preserve">[To be completed]</w:t>
      </w:r>
    </w:p>
    <w:p>
      <w:pPr>
        <w:pStyle w:val="BodyText"/>
      </w:pPr>
      <w:r>
        <w:rPr>
          <w:bCs/>
          <w:b/>
        </w:rPr>
        <w:t xml:space="preserve">National ID No.:</w:t>
      </w:r>
      <w:r>
        <w:t xml:space="preserve"> </w:t>
      </w:r>
      <w:r>
        <w:t xml:space="preserve">[To be completed]</w:t>
      </w:r>
    </w:p>
    <w:p>
      <w:pPr>
        <w:pStyle w:val="BodyText"/>
      </w:pPr>
      <w:r>
        <w:rPr>
          <w:bCs/>
          <w:b/>
        </w:rPr>
        <w:t xml:space="preserve">Referral Source:</w:t>
      </w:r>
      <w:r>
        <w:t xml:space="preserve"> </w:t>
      </w:r>
      <w:r>
        <w:t xml:space="preserve">[To be completed]</w:t>
      </w:r>
    </w:p>
    <w:bookmarkEnd w:id="22"/>
    <w:bookmarkStart w:id="23" w:name="quotation-reference"/>
    <w:p>
      <w:pPr>
        <w:pStyle w:val="Heading3"/>
      </w:pPr>
      <w:r>
        <w:t xml:space="preserve">Quotation Reference</w:t>
      </w:r>
    </w:p>
    <w:p>
      <w:pPr>
        <w:pStyle w:val="FirstParagraph"/>
      </w:pPr>
      <w:r>
        <w:rPr>
          <w:bCs/>
          <w:b/>
        </w:rPr>
        <w:t xml:space="preserve">Quotation Estimate No.:</w:t>
      </w:r>
      <w:r>
        <w:t xml:space="preserve"> </w:t>
      </w:r>
      <w:r>
        <w:t xml:space="preserve">QTE-2025-BGH-0847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Iraqi Dinar (IQD) / USD</w:t>
      </w:r>
    </w:p>
    <w:bookmarkEnd w:id="23"/>
    <w:bookmarkStart w:id="24" w:name="scope-of-service"/>
    <w:p>
      <w:pPr>
        <w:pStyle w:val="Heading3"/>
      </w:pPr>
      <w:r>
        <w:t xml:space="preserve">Scope of Service</w:t>
      </w:r>
    </w:p>
    <w:p>
      <w:pPr>
        <w:pStyle w:val="FirstParagraph"/>
      </w:pPr>
      <w:r>
        <w:rPr>
          <w:bCs/>
          <w:b/>
        </w:rPr>
        <w:t xml:space="preserve">Specialty:</w:t>
      </w:r>
      <w:r>
        <w:t xml:space="preserve"> </w:t>
      </w:r>
      <w:r>
        <w:t xml:space="preserve">Orthodontist Treatment</w:t>
      </w:r>
    </w:p>
    <w:p>
      <w:pPr>
        <w:pStyle w:val="BodyText"/>
      </w:pPr>
      <w:r>
        <w:rPr>
          <w:bCs/>
          <w:b/>
        </w:rPr>
        <w:t xml:space="preserve">Location:</w:t>
      </w:r>
      <w:r>
        <w:t xml:space="preserve"> </w:t>
      </w:r>
      <w:r>
        <w:t xml:space="preserve">Iraq Baghdad – Al-Mansour District</w:t>
      </w:r>
    </w:p>
    <w:p>
      <w:pPr>
        <w:pStyle w:val="BodyText"/>
      </w:pPr>
      <w:r>
        <w:rPr>
          <w:bCs/>
          <w:b/>
        </w:rPr>
        <w:t xml:space="preserve">Estimated Duration:</w:t>
      </w:r>
      <w:r>
        <w:t xml:space="preserve"> </w:t>
      </w:r>
      <w:r>
        <w:t xml:space="preserve">18–24 months</w:t>
      </w:r>
    </w:p>
    <w:p>
      <w:pPr>
        <w:pStyle w:val="BodyText"/>
      </w:pPr>
      <w:r>
        <w:rPr>
          <w:bCs/>
          <w:b/>
        </w:rPr>
        <w:t xml:space="preserve">Number of Sessions:</w:t>
      </w:r>
      <w:r>
        <w:t xml:space="preserve"> </w:t>
      </w:r>
      <w:r>
        <w:t xml:space="preserve">24–32 visits</w:t>
      </w:r>
    </w:p>
    <w:bookmarkEnd w:id="24"/>
    <w:bookmarkStart w:id="25" w:name="X84d68843712d2bf7fe104a5aa2dd26e1592d0d4"/>
    <w:p>
      <w:pPr>
        <w:pStyle w:val="Heading2"/>
      </w:pPr>
      <w:r>
        <w:t xml:space="preserve">1. Description of Orthodontist Services Included</w:t>
      </w:r>
    </w:p>
    <w:p>
      <w:pPr>
        <w:pStyle w:val="FirstParagraph"/>
      </w:pPr>
      <w:r>
        <w:t xml:space="preserve">This Quotation Estimate is prepared by the undersigned Orthodontist to provide a comprehensive, transparent, and itemized cost breakdown for the full orthodontic treatment plan to be delivered at our clinic in Iraq Baghdad. The services outlined below represent the complete scope of care the patient will receive from initial consultation through final retention. All procedures are performed in accordance with the standards set by the Iraqi Ministry of Health and the International Association for Orthodontists (IAO).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Unit Cost (IQD)</w:t>
            </w:r>
          </w:p>
        </w:tc>
        <w:tc>
          <w:tcPr/>
          <w:p>
            <w:pPr>
              <w:pStyle w:val="Compact"/>
              <w:jc w:val="left"/>
            </w:pPr>
            <w:r>
              <w:t xml:space="preserve">Unit Cost (USD)</w:t>
            </w:r>
          </w:p>
        </w:tc>
        <w:tc>
          <w:tcPr/>
          <w:p>
            <w:pPr>
              <w:pStyle w:val="Compact"/>
              <w:jc w:val="left"/>
            </w:pPr>
            <w:r>
              <w:t xml:space="preserve">Total (IQD)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Orthodontist Consultation &amp; Diagnostic Records (X-rays, panoramic radiograph, intraoral photographs, digital impressions)</w:t>
            </w:r>
          </w:p>
        </w:tc>
        <w:tc>
          <w:tcPr/>
          <w:p>
            <w:pPr>
              <w:pStyle w:val="Compact"/>
              <w:jc w:val="left"/>
            </w:pPr>
            <w:r>
              <w:t xml:space="preserve">1x</w:t>
            </w:r>
          </w:p>
        </w:tc>
        <w:tc>
          <w:tcPr/>
          <w:p>
            <w:pPr>
              <w:pStyle w:val="Compact"/>
              <w:jc w:val="left"/>
            </w:pPr>
            <w:r>
              <w:t xml:space="preserve">75,000</w:t>
            </w:r>
          </w:p>
        </w:tc>
        <w:tc>
          <w:tcPr/>
          <w:p>
            <w:pPr>
              <w:pStyle w:val="Compact"/>
              <w:jc w:val="left"/>
            </w:pPr>
            <w:r>
              <w:t xml:space="preserve">$57</w:t>
            </w:r>
          </w:p>
        </w:tc>
        <w:tc>
          <w:tcPr/>
          <w:p>
            <w:pPr>
              <w:pStyle w:val="Compact"/>
              <w:jc w:val="left"/>
            </w:pPr>
            <w:r>
              <w:t xml:space="preserve">75,000</w:t>
            </w:r>
          </w:p>
        </w:tc>
        <w:tc>
          <w:tcPr/>
          <w:p>
            <w:pPr>
              <w:pStyle w:val="Compact"/>
              <w:jc w:val="left"/>
            </w:pPr>
            <w:r>
              <w:t xml:space="preserve">$57</w:t>
            </w:r>
          </w:p>
        </w:tc>
      </w:tr>
      <w:tr>
        <w:tc>
          <w:tcPr/>
          <w:p>
            <w:pPr>
              <w:pStyle w:val="Compact"/>
              <w:jc w:val="left"/>
            </w:pPr>
            <w:r>
              <w:t xml:space="preserve">02</w:t>
            </w:r>
          </w:p>
        </w:tc>
        <w:tc>
          <w:tcPr/>
          <w:p>
            <w:pPr>
              <w:pStyle w:val="Compact"/>
              <w:jc w:val="left"/>
            </w:pPr>
            <w:r>
              <w:t xml:space="preserve">Comprehensive Treatment Planning &amp; Digital Simulation (3D treatment preview)</w:t>
            </w:r>
          </w:p>
        </w:tc>
        <w:tc>
          <w:tcPr/>
          <w:p>
            <w:pPr>
              <w:pStyle w:val="Compact"/>
              <w:jc w:val="left"/>
            </w:pPr>
            <w:r>
              <w:t xml:space="preserve">1x</w:t>
            </w:r>
          </w:p>
        </w:tc>
        <w:tc>
          <w:tcPr/>
          <w:p>
            <w:pPr>
              <w:pStyle w:val="Compact"/>
              <w:jc w:val="left"/>
            </w:pPr>
            <w:r>
              <w:t xml:space="preserve">100,000</w:t>
            </w:r>
          </w:p>
        </w:tc>
        <w:tc>
          <w:tcPr/>
          <w:p>
            <w:pPr>
              <w:pStyle w:val="Compact"/>
              <w:jc w:val="left"/>
            </w:pPr>
            <w:r>
              <w:t xml:space="preserve">$76</w:t>
            </w:r>
          </w:p>
        </w:tc>
        <w:tc>
          <w:tcPr/>
          <w:p>
            <w:pPr>
              <w:pStyle w:val="Compact"/>
              <w:jc w:val="left"/>
            </w:pPr>
            <w:r>
              <w:t xml:space="preserve">100,000</w:t>
            </w:r>
          </w:p>
        </w:tc>
        <w:tc>
          <w:tcPr/>
          <w:p>
            <w:pPr>
              <w:pStyle w:val="Compact"/>
              <w:jc w:val="left"/>
            </w:pPr>
            <w:r>
              <w:t xml:space="preserve">$76</w:t>
            </w:r>
          </w:p>
        </w:tc>
      </w:tr>
      <w:tr>
        <w:tc>
          <w:tcPr/>
          <w:p>
            <w:pPr>
              <w:pStyle w:val="Compact"/>
              <w:jc w:val="left"/>
            </w:pPr>
            <w:r>
              <w:t xml:space="preserve">03</w:t>
            </w:r>
          </w:p>
        </w:tc>
        <w:tc>
          <w:tcPr/>
          <w:p>
            <w:pPr>
              <w:pStyle w:val="Compact"/>
              <w:jc w:val="left"/>
            </w:pPr>
            <w:r>
              <w:t xml:space="preserve">Placement of Fixed Metal Braces (full upper and lower arches, including bonding of brackets and archwires)</w:t>
            </w:r>
          </w:p>
        </w:tc>
        <w:tc>
          <w:tcPr/>
          <w:p>
            <w:pPr>
              <w:pStyle w:val="Compact"/>
              <w:jc w:val="left"/>
            </w:pPr>
            <w:r>
              <w:t xml:space="preserve">1x</w:t>
            </w:r>
          </w:p>
        </w:tc>
        <w:tc>
          <w:tcPr/>
          <w:p>
            <w:pPr>
              <w:pStyle w:val="Compact"/>
              <w:jc w:val="left"/>
            </w:pPr>
            <w:r>
              <w:t xml:space="preserve">1,200,000</w:t>
            </w:r>
          </w:p>
        </w:tc>
        <w:tc>
          <w:tcPr/>
          <w:p>
            <w:pPr>
              <w:pStyle w:val="Compact"/>
              <w:jc w:val="left"/>
            </w:pPr>
            <w:r>
              <w:t xml:space="preserve">$912</w:t>
            </w:r>
          </w:p>
        </w:tc>
        <w:tc>
          <w:tcPr/>
          <w:p>
            <w:pPr>
              <w:pStyle w:val="Compact"/>
              <w:jc w:val="left"/>
            </w:pPr>
            <w:r>
              <w:t xml:space="preserve">1,200,000</w:t>
            </w:r>
          </w:p>
        </w:tc>
        <w:tc>
          <w:tcPr/>
          <w:p>
            <w:pPr>
              <w:pStyle w:val="Compact"/>
              <w:jc w:val="left"/>
            </w:pPr>
            <w:r>
              <w:t xml:space="preserve">$912</w:t>
            </w:r>
          </w:p>
        </w:tc>
      </w:tr>
      <w:tr>
        <w:tc>
          <w:tcPr/>
          <w:p>
            <w:pPr>
              <w:pStyle w:val="Compact"/>
              <w:jc w:val="left"/>
            </w:pPr>
            <w:r>
              <w:t xml:space="preserve">04</w:t>
            </w:r>
          </w:p>
        </w:tc>
        <w:tc>
          <w:tcPr/>
          <w:p>
            <w:pPr>
              <w:pStyle w:val="Compact"/>
              <w:jc w:val="left"/>
            </w:pPr>
            <w:r>
              <w:t xml:space="preserve">Monthly Orthodontist Adjustment Visits (wire changes, elastic adjustments, progress monitoring)</w:t>
            </w:r>
          </w:p>
        </w:tc>
        <w:tc>
          <w:tcPr/>
          <w:p>
            <w:pPr>
              <w:pStyle w:val="Compact"/>
              <w:jc w:val="left"/>
            </w:pPr>
            <w:r>
              <w:t xml:space="preserve">22x</w:t>
            </w:r>
          </w:p>
        </w:tc>
        <w:tc>
          <w:tcPr/>
          <w:p>
            <w:pPr>
              <w:pStyle w:val="Compact"/>
              <w:jc w:val="left"/>
            </w:pPr>
            <w:r>
              <w:t xml:space="preserve">50,000</w:t>
            </w:r>
          </w:p>
        </w:tc>
        <w:tc>
          <w:tcPr/>
          <w:p>
            <w:pPr>
              <w:pStyle w:val="Compact"/>
              <w:jc w:val="left"/>
            </w:pPr>
            <w:r>
              <w:t xml:space="preserve">$38</w:t>
            </w:r>
          </w:p>
        </w:tc>
        <w:tc>
          <w:tcPr/>
          <w:p>
            <w:pPr>
              <w:pStyle w:val="Compact"/>
              <w:jc w:val="left"/>
            </w:pPr>
            <w:r>
              <w:t xml:space="preserve">1,100,000</w:t>
            </w:r>
          </w:p>
        </w:tc>
        <w:tc>
          <w:tcPr/>
          <w:p>
            <w:pPr>
              <w:pStyle w:val="Compact"/>
              <w:jc w:val="left"/>
            </w:pPr>
            <w:r>
              <w:t xml:space="preserve">$836</w:t>
            </w:r>
          </w:p>
        </w:tc>
      </w:tr>
      <w:tr>
        <w:tc>
          <w:tcPr/>
          <w:p>
            <w:pPr>
              <w:pStyle w:val="Compact"/>
              <w:jc w:val="left"/>
            </w:pPr>
            <w:r>
              <w:t xml:space="preserve">05</w:t>
            </w:r>
          </w:p>
        </w:tc>
        <w:tc>
          <w:tcPr/>
          <w:p>
            <w:pPr>
              <w:pStyle w:val="Compact"/>
              <w:jc w:val="left"/>
            </w:pPr>
            <w:r>
              <w:t xml:space="preserve">Interproximal Reduction (IPR) / Enamel Stripping (if clinically required)</w:t>
            </w:r>
          </w:p>
        </w:tc>
        <w:tc>
          <w:tcPr/>
          <w:p>
            <w:pPr>
              <w:pStyle w:val="Compact"/>
              <w:jc w:val="left"/>
            </w:pPr>
            <w:r>
              <w:t xml:space="preserve">1x</w:t>
            </w:r>
          </w:p>
        </w:tc>
        <w:tc>
          <w:tcPr/>
          <w:p>
            <w:pPr>
              <w:pStyle w:val="Compact"/>
              <w:jc w:val="left"/>
            </w:pPr>
            <w:r>
              <w:t xml:space="preserve">150,000</w:t>
            </w:r>
          </w:p>
        </w:tc>
        <w:tc>
          <w:tcPr/>
          <w:p>
            <w:pPr>
              <w:pStyle w:val="Compact"/>
              <w:jc w:val="left"/>
            </w:pPr>
            <w:r>
              <w:t xml:space="preserve">$114</w:t>
            </w:r>
          </w:p>
        </w:tc>
        <w:tc>
          <w:tcPr/>
          <w:p>
            <w:pPr>
              <w:pStyle w:val="Compact"/>
              <w:jc w:val="left"/>
            </w:pPr>
            <w:r>
              <w:t xml:space="preserve">150,000</w:t>
            </w:r>
          </w:p>
        </w:tc>
        <w:tc>
          <w:tcPr/>
          <w:p>
            <w:pPr>
              <w:pStyle w:val="Compact"/>
              <w:jc w:val="left"/>
            </w:pPr>
            <w:r>
              <w:t xml:space="preserve">$114</w:t>
            </w:r>
          </w:p>
        </w:tc>
      </w:tr>
      <w:tr>
        <w:tc>
          <w:tcPr/>
          <w:p>
            <w:pPr>
              <w:pStyle w:val="Compact"/>
              <w:jc w:val="left"/>
            </w:pPr>
            <w:r>
              <w:t xml:space="preserve">06</w:t>
            </w:r>
          </w:p>
        </w:tc>
        <w:tc>
          <w:tcPr/>
          <w:p>
            <w:pPr>
              <w:pStyle w:val="Compact"/>
              <w:jc w:val="left"/>
            </w:pPr>
            <w:r>
              <w:t xml:space="preserve">Extraction of Premolars (up to 4 teeth, including local anesthesia and post-extraction care)</w:t>
            </w:r>
          </w:p>
        </w:tc>
        <w:tc>
          <w:tcPr/>
          <w:p>
            <w:pPr>
              <w:pStyle w:val="Compact"/>
              <w:jc w:val="left"/>
            </w:pPr>
            <w:r>
              <w:t xml:space="preserve">1x</w:t>
            </w:r>
          </w:p>
        </w:tc>
        <w:tc>
          <w:tcPr/>
          <w:p>
            <w:pPr>
              <w:pStyle w:val="Compact"/>
              <w:jc w:val="left"/>
            </w:pPr>
            <w:r>
              <w:t xml:space="preserve">400,000</w:t>
            </w:r>
          </w:p>
        </w:tc>
        <w:tc>
          <w:tcPr/>
          <w:p>
            <w:pPr>
              <w:pStyle w:val="Compact"/>
              <w:jc w:val="left"/>
            </w:pPr>
            <w:r>
              <w:t xml:space="preserve">$304</w:t>
            </w:r>
          </w:p>
        </w:tc>
        <w:tc>
          <w:tcPr/>
          <w:p>
            <w:pPr>
              <w:pStyle w:val="Compact"/>
              <w:jc w:val="left"/>
            </w:pPr>
            <w:r>
              <w:t xml:space="preserve">400,000</w:t>
            </w:r>
          </w:p>
        </w:tc>
        <w:tc>
          <w:tcPr/>
          <w:p>
            <w:pPr>
              <w:pStyle w:val="Compact"/>
              <w:jc w:val="left"/>
            </w:pPr>
            <w:r>
              <w:t xml:space="preserve">$304</w:t>
            </w:r>
          </w:p>
        </w:tc>
      </w:tr>
      <w:tr>
        <w:tc>
          <w:tcPr/>
          <w:p>
            <w:pPr>
              <w:pStyle w:val="Compact"/>
              <w:jc w:val="left"/>
            </w:pPr>
            <w:r>
              <w:t xml:space="preserve">07</w:t>
            </w:r>
          </w:p>
        </w:tc>
        <w:tc>
          <w:tcPr/>
          <w:p>
            <w:pPr>
              <w:pStyle w:val="Compact"/>
              <w:jc w:val="left"/>
            </w:pPr>
            <w:r>
              <w:t xml:space="preserve">Removal of Braces &amp; Final Archwire Placement</w:t>
            </w:r>
          </w:p>
        </w:tc>
        <w:tc>
          <w:tcPr/>
          <w:p>
            <w:pPr>
              <w:pStyle w:val="Compact"/>
              <w:jc w:val="left"/>
            </w:pPr>
            <w:r>
              <w:t xml:space="preserve">1x</w:t>
            </w:r>
          </w:p>
        </w:tc>
        <w:tc>
          <w:tcPr/>
          <w:p>
            <w:pPr>
              <w:pStyle w:val="Compact"/>
              <w:jc w:val="left"/>
            </w:pPr>
            <w:r>
              <w:t xml:space="preserve">200,000</w:t>
            </w:r>
          </w:p>
        </w:tc>
        <w:tc>
          <w:tcPr/>
          <w:p>
            <w:pPr>
              <w:pStyle w:val="Compact"/>
              <w:jc w:val="left"/>
            </w:pPr>
            <w:r>
              <w:t xml:space="preserve">$152</w:t>
            </w:r>
          </w:p>
        </w:tc>
        <w:tc>
          <w:tcPr/>
          <w:p>
            <w:pPr>
              <w:pStyle w:val="Compact"/>
              <w:jc w:val="left"/>
            </w:pPr>
            <w:r>
              <w:t xml:space="preserve">200,000</w:t>
            </w:r>
          </w:p>
        </w:tc>
        <w:tc>
          <w:tcPr/>
          <w:p>
            <w:pPr>
              <w:pStyle w:val="Compact"/>
              <w:jc w:val="left"/>
            </w:pPr>
            <w:r>
              <w:t xml:space="preserve">$152</w:t>
            </w:r>
          </w:p>
        </w:tc>
      </w:tr>
      <w:tr>
        <w:tc>
          <w:tcPr/>
          <w:p>
            <w:pPr>
              <w:pStyle w:val="Compact"/>
              <w:jc w:val="left"/>
            </w:pPr>
            <w:r>
              <w:t xml:space="preserve">08</w:t>
            </w:r>
          </w:p>
        </w:tc>
        <w:tc>
          <w:tcPr/>
          <w:p>
            <w:pPr>
              <w:pStyle w:val="Compact"/>
              <w:jc w:val="left"/>
            </w:pPr>
            <w:r>
              <w:t xml:space="preserve">Custom-Fabricated Retainers (upper and lower, including 6-month follow-up checks)</w:t>
            </w:r>
          </w:p>
        </w:tc>
        <w:tc>
          <w:tcPr/>
          <w:p>
            <w:pPr>
              <w:pStyle w:val="Compact"/>
              <w:jc w:val="left"/>
            </w:pPr>
            <w:r>
              <w:t xml:space="preserve">1x</w:t>
            </w:r>
          </w:p>
        </w:tc>
        <w:tc>
          <w:tcPr/>
          <w:p>
            <w:pPr>
              <w:pStyle w:val="Compact"/>
              <w:jc w:val="left"/>
            </w:pPr>
            <w:r>
              <w:t xml:space="preserve">350,000</w:t>
            </w:r>
          </w:p>
        </w:tc>
        <w:tc>
          <w:tcPr/>
          <w:p>
            <w:pPr>
              <w:pStyle w:val="Compact"/>
              <w:jc w:val="left"/>
            </w:pPr>
            <w:r>
              <w:t xml:space="preserve">$266</w:t>
            </w:r>
          </w:p>
        </w:tc>
        <w:tc>
          <w:tcPr/>
          <w:p>
            <w:pPr>
              <w:pStyle w:val="Compact"/>
              <w:jc w:val="left"/>
            </w:pPr>
            <w:r>
              <w:t xml:space="preserve">350,000</w:t>
            </w:r>
          </w:p>
        </w:tc>
        <w:tc>
          <w:tcPr/>
          <w:p>
            <w:pPr>
              <w:pStyle w:val="Compact"/>
              <w:jc w:val="left"/>
            </w:pPr>
            <w:r>
              <w:t xml:space="preserve">$266</w:t>
            </w:r>
          </w:p>
        </w:tc>
      </w:tr>
      <w:tr>
        <w:tc>
          <w:tcPr/>
          <w:p>
            <w:pPr>
              <w:pStyle w:val="Compact"/>
              <w:jc w:val="left"/>
            </w:pPr>
            <w:r>
              <w:t xml:space="preserve">09</w:t>
            </w:r>
          </w:p>
        </w:tc>
        <w:tc>
          <w:tcPr/>
          <w:p>
            <w:pPr>
              <w:pStyle w:val="Compact"/>
              <w:jc w:val="left"/>
            </w:pPr>
            <w:r>
              <w:t xml:space="preserve">Emergency / Unscheduled Orthodontist Visits (broken bracket, wire irritation – up to 3 visits)</w:t>
            </w:r>
          </w:p>
        </w:tc>
        <w:tc>
          <w:tcPr/>
          <w:p>
            <w:pPr>
              <w:pStyle w:val="Compact"/>
              <w:jc w:val="left"/>
            </w:pPr>
            <w:r>
              <w:t xml:space="preserve">3x</w:t>
            </w:r>
          </w:p>
        </w:tc>
        <w:tc>
          <w:tcPr/>
          <w:p>
            <w:pPr>
              <w:pStyle w:val="Compact"/>
              <w:jc w:val="left"/>
            </w:pPr>
            <w:r>
              <w:t xml:space="preserve">35,000</w:t>
            </w:r>
          </w:p>
        </w:tc>
        <w:tc>
          <w:tcPr/>
          <w:p>
            <w:pPr>
              <w:pStyle w:val="Compact"/>
              <w:jc w:val="left"/>
            </w:pPr>
            <w:r>
              <w:t xml:space="preserve">$27</w:t>
            </w:r>
          </w:p>
        </w:tc>
        <w:tc>
          <w:tcPr/>
          <w:p>
            <w:pPr>
              <w:pStyle w:val="Compact"/>
              <w:jc w:val="left"/>
            </w:pPr>
            <w:r>
              <w:t xml:space="preserve">105,000</w:t>
            </w:r>
          </w:p>
        </w:tc>
        <w:tc>
          <w:tcPr/>
          <w:p>
            <w:pPr>
              <w:pStyle w:val="Compact"/>
              <w:jc w:val="left"/>
            </w:pPr>
            <w:r>
              <w:t xml:space="preserve">$81</w:t>
            </w:r>
          </w:p>
        </w:tc>
      </w:tr>
      <w:tr>
        <w:tc>
          <w:tcPr/>
          <w:p>
            <w:pPr>
              <w:pStyle w:val="Compact"/>
              <w:jc w:val="left"/>
            </w:pPr>
            <w:r>
              <w:t xml:space="preserve">10</w:t>
            </w:r>
          </w:p>
        </w:tc>
        <w:tc>
          <w:tcPr/>
          <w:p>
            <w:pPr>
              <w:pStyle w:val="Compact"/>
              <w:jc w:val="left"/>
            </w:pPr>
            <w:r>
              <w:t xml:space="preserve">Final Post-Treatment Records &amp; Orthodontist Report (for patient records and future reference)</w:t>
            </w:r>
          </w:p>
        </w:tc>
        <w:tc>
          <w:tcPr/>
          <w:p>
            <w:pPr>
              <w:pStyle w:val="Compact"/>
              <w:jc w:val="left"/>
            </w:pPr>
            <w:r>
              <w:t xml:space="preserve">1x</w:t>
            </w:r>
          </w:p>
        </w:tc>
        <w:tc>
          <w:tcPr/>
          <w:p>
            <w:pPr>
              <w:pStyle w:val="Compact"/>
              <w:jc w:val="left"/>
            </w:pPr>
            <w:r>
              <w:t xml:space="preserve">50,000</w:t>
            </w:r>
          </w:p>
        </w:tc>
        <w:tc>
          <w:tcPr/>
          <w:p>
            <w:pPr>
              <w:pStyle w:val="Compact"/>
              <w:jc w:val="left"/>
            </w:pPr>
            <w:r>
              <w:t xml:space="preserve">$38</w:t>
            </w:r>
          </w:p>
        </w:tc>
        <w:tc>
          <w:tcPr/>
          <w:p>
            <w:pPr>
              <w:pStyle w:val="Compact"/>
              <w:jc w:val="left"/>
            </w:pPr>
            <w:r>
              <w:t xml:space="preserve">50,000</w:t>
            </w:r>
          </w:p>
        </w:tc>
        <w:tc>
          <w:tcPr/>
          <w:p>
            <w:pPr>
              <w:pStyle w:val="Compact"/>
              <w:jc w:val="left"/>
            </w:pPr>
            <w:r>
              <w:t xml:space="preserve">$38</w:t>
            </w:r>
          </w:p>
        </w:tc>
      </w:tr>
      <w:tr>
        <w:tc>
          <w:tcPr>
            <w:gridSpan w:val="5"/>
          </w:tcPr>
          <w:p>
            <w:pPr>
              <w:pStyle w:val="Compact"/>
              <w:jc w:val="left"/>
            </w:pPr>
            <w:r>
              <w:t xml:space="preserve">GRAND TOTAL (All Services)</w:t>
            </w:r>
          </w:p>
        </w:tc>
        <w:tc>
          <w:tcPr/>
          <w:p>
            <w:pPr>
              <w:pStyle w:val="Compact"/>
              <w:jc w:val="left"/>
            </w:pPr>
            <w:r>
              <w:t xml:space="preserve">3,930,000</w:t>
            </w:r>
          </w:p>
        </w:tc>
        <w:tc>
          <w:tcPr/>
          <w:p>
            <w:pPr>
              <w:pStyle w:val="Compact"/>
              <w:jc w:val="left"/>
            </w:pPr>
            <w:r>
              <w:t xml:space="preserve">$2,996</w:t>
            </w:r>
          </w:p>
        </w:tc>
      </w:tr>
    </w:tbl>
    <w:bookmarkEnd w:id="25"/>
    <w:bookmarkStart w:id="26" w:name="payment-terms-schedule"/>
    <w:p>
      <w:pPr>
        <w:pStyle w:val="Heading2"/>
      </w:pPr>
      <w:r>
        <w:t xml:space="preserve">2. Payment Terms &amp; Schedule</w:t>
      </w:r>
    </w:p>
    <w:p>
      <w:pPr>
        <w:pStyle w:val="FirstParagraph"/>
      </w:pPr>
      <w:r>
        <w:t xml:space="preserve">This Quotation Estimate for Orthodontist services in Iraq Baghdad may be settled through the following payment schedule. The patient is required to pay a minimum of 30% as a deposit at the time of accepting this Quotation Estimate to secure the treatment start date.</w:t>
      </w:r>
    </w:p>
    <w:p>
      <w:pPr>
        <w:numPr>
          <w:ilvl w:val="0"/>
          <w:numId w:val="1001"/>
        </w:numPr>
        <w:pStyle w:val="Compact"/>
      </w:pPr>
      <w:r>
        <w:rPr>
          <w:bCs/>
          <w:b/>
        </w:rPr>
        <w:t xml:space="preserve">Deposit (30%):</w:t>
      </w:r>
      <w:r>
        <w:t xml:space="preserve"> </w:t>
      </w:r>
      <w:r>
        <w:t xml:space="preserve">1,179,000 IQD / $899 – due upon signing</w:t>
      </w:r>
    </w:p>
    <w:p>
      <w:pPr>
        <w:numPr>
          <w:ilvl w:val="0"/>
          <w:numId w:val="1001"/>
        </w:numPr>
        <w:pStyle w:val="Compact"/>
      </w:pPr>
      <w:r>
        <w:rPr>
          <w:bCs/>
          <w:b/>
        </w:rPr>
        <w:t xml:space="preserve">Second Installment (40%):</w:t>
      </w:r>
      <w:r>
        <w:t xml:space="preserve"> </w:t>
      </w:r>
      <w:r>
        <w:t xml:space="preserve">1,572,000 IQD / $1,198 – due at the 6-month mark</w:t>
      </w:r>
    </w:p>
    <w:p>
      <w:pPr>
        <w:numPr>
          <w:ilvl w:val="0"/>
          <w:numId w:val="1001"/>
        </w:numPr>
        <w:pStyle w:val="Compact"/>
      </w:pPr>
      <w:r>
        <w:rPr>
          <w:bCs/>
          <w:b/>
        </w:rPr>
        <w:t xml:space="preserve">Final Installment (30%):</w:t>
      </w:r>
      <w:r>
        <w:t xml:space="preserve"> </w:t>
      </w:r>
      <w:r>
        <w:t xml:space="preserve">1,179,000 IQD / $899 – due at brace removal</w:t>
      </w:r>
    </w:p>
    <w:p>
      <w:pPr>
        <w:pStyle w:val="FirstParagraph"/>
      </w:pPr>
      <w:r>
        <w:t xml:space="preserve">Payments may be made in Iraqi Dinar (IQD) or US Dollars (USD) at the prevailing Central Bank of Iraq exchange rate on the date of payment. Bank transfer to the clinic's registered account in Baghdad is accepted. Cash payments are also available at the front desk.</w:t>
      </w:r>
    </w:p>
    <w:bookmarkEnd w:id="26"/>
    <w:bookmarkStart w:id="27" w:name="terms-conditions"/>
    <w:p>
      <w:pPr>
        <w:pStyle w:val="Heading2"/>
      </w:pPr>
      <w:r>
        <w:t xml:space="preserve">3. Terms &amp; Conditions</w:t>
      </w:r>
    </w:p>
    <w:p>
      <w:pPr>
        <w:pStyle w:val="FirstParagraph"/>
      </w:pPr>
      <w:r>
        <w:t xml:space="preserve">3.1. This Quotation Estimate is valid for thirty (30) calendar days from the date of issue. After the expiry date, the Orthodontist reserves the right to revise pricing due to changes in material costs, import tariffs, or currency fluctuations in Iraq Baghdad.</w:t>
      </w:r>
    </w:p>
    <w:p>
      <w:pPr>
        <w:pStyle w:val="BodyText"/>
      </w:pPr>
      <w:r>
        <w:t xml:space="preserve">3.2. The total treatment duration of 18 to 24 months is an estimate. The Orthodontist may adjust the number of adjustment visits based on the patient's biological response and progress. Any additional visits beyond the 22 scheduled adjustments will be billed at the standard rate of 50,000 IQD per visit.</w:t>
      </w:r>
    </w:p>
    <w:p>
      <w:pPr>
        <w:pStyle w:val="BodyText"/>
      </w:pPr>
      <w:r>
        <w:t xml:space="preserve">3.3. The patient is responsible for maintaining oral hygiene and attending all scheduled Orthodontist appointments. Missed appointments exceeding three (3) without prior notice may result in a rescheduling fee of 25,000 IQD per occurrence.</w:t>
      </w:r>
    </w:p>
    <w:p>
      <w:pPr>
        <w:pStyle w:val="BodyText"/>
      </w:pPr>
      <w:r>
        <w:t xml:space="preserve">3.4. In the event of appliance damage caused by the patient (e.g., biting hard objects, sports-related trauma), repair costs will be charged separately and are not included in this Quotation Estimate.</w:t>
      </w:r>
    </w:p>
    <w:p>
      <w:pPr>
        <w:pStyle w:val="BodyText"/>
      </w:pPr>
      <w:r>
        <w:t xml:space="preserve">3.5. All diagnostic records, digital files, and treatment plans remain the intellectual property of the Orthodontist and the clinic. The patient receives a copy of the final report for personal records.</w:t>
      </w:r>
    </w:p>
    <w:p>
      <w:pPr>
        <w:pStyle w:val="BodyText"/>
      </w:pPr>
      <w:r>
        <w:t xml:space="preserve">3.6. This Quotation Estimate does not include general dental treatments such as fillings, root canal therapy, or periodontal surgery. Any such procedures identified during the course of orthodontic treatment will be quoted separately.</w:t>
      </w:r>
    </w:p>
    <w:p>
      <w:pPr>
        <w:pStyle w:val="BodyText"/>
      </w:pPr>
      <w:r>
        <w:t xml:space="preserve">3.7. The clinic operates in compliance with all regulations of the Iraqi Ministry of Health. The Orthodontist holds a valid practicing license in the Republic of Iraq and is a member of the Iraqi Orthodontic Society.</w:t>
      </w:r>
    </w:p>
    <w:p>
      <w:pPr>
        <w:pStyle w:val="BodyText"/>
      </w:pPr>
      <w:r>
        <w:t xml:space="preserve">3.8. In the unlikely event of a medical emergency arising during treatment, the Orthodontist will provide immediate care at the clinic in Iraq Baghdad. Emergency hospital transfer fees, if required, are the patient's responsibility.</w:t>
      </w:r>
    </w:p>
    <w:bookmarkEnd w:id="27"/>
    <w:bookmarkStart w:id="28" w:name="acceptance-authorization"/>
    <w:p>
      <w:pPr>
        <w:pStyle w:val="Heading2"/>
      </w:pPr>
      <w:r>
        <w:t xml:space="preserve">4. Acceptance &amp; Authorization</w:t>
      </w:r>
    </w:p>
    <w:p>
      <w:pPr>
        <w:pStyle w:val="FirstParagraph"/>
      </w:pPr>
      <w:r>
        <w:t xml:space="preserve">By signing below, the patient (or legal guardian) acknowledges that they have read and understood this Quotation Estimate for Orthodontist services in Iraq Baghdad. The patient agrees to the payment schedule, terms, and conditions outlined in this document. The Orthodontist confirms that the treatment plan described herein is based on a thorough clinical examination and diagnostic records obtained on the date of the initial consultation.</w:t>
      </w:r>
    </w:p>
    <w:p>
      <w:pPr>
        <w:pStyle w:val="BodyText"/>
      </w:pPr>
      <w:r>
        <w:rPr>
          <w:bCs/>
          <w:b/>
        </w:rPr>
        <w:t xml:space="preserve">Patient / Legal Guardian</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Orthodontist / Clinic Representative</w:t>
      </w:r>
    </w:p>
    <w:p>
      <w:pPr>
        <w:pStyle w:val="BodyText"/>
      </w:pPr>
      <w:r>
        <w:t xml:space="preserve">Name: Dr. Ahmed Al-Rashid, DDS</w:t>
      </w:r>
      <w:r>
        <w:br/>
      </w:r>
      <w:r>
        <w:t xml:space="preserve">Signature: _________________________</w:t>
      </w:r>
      <w:r>
        <w:br/>
      </w:r>
      <w:r>
        <w:t xml:space="preserve">Date: _________________________</w:t>
      </w:r>
    </w:p>
    <w:p>
      <w:pPr>
        <w:pStyle w:val="BodyText"/>
      </w:pPr>
      <w:r>
        <w:t xml:space="preserve">Al-Mansour Orthodontic Center | Al-Mansour District, Baghdad, Iraq | Tel: +964 770 123 4567</w:t>
      </w:r>
    </w:p>
    <w:p>
      <w:pPr>
        <w:pStyle w:val="BodyText"/>
      </w:pPr>
      <w:r>
        <w:t xml:space="preserve">This Quotation Estimate document is generated for the patient named above and is non-transferable. Quotation Estimate No. QTE-2025-BGH-0847.</w:t>
      </w:r>
    </w:p>
    <w:p>
      <w:pPr>
        <w:pStyle w:val="BodyText"/>
      </w:pPr>
      <w:r>
        <w:t xml:space="preserve">© 2025 Al-Mansour Orthodontic Center, Baghdad, Iraq.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Iraq Baghdad</dc:title>
  <dc:creator/>
  <dc:language>en</dc:language>
  <cp:keywords/>
  <dcterms:created xsi:type="dcterms:W3CDTF">2026-10-10T09:17:12Z</dcterms:created>
  <dcterms:modified xsi:type="dcterms:W3CDTF">2026-10-10T09:17:12Z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