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1" w:name="dr.-miriam-levi-orthodontist"/>
    <w:p>
      <w:pPr>
        <w:pStyle w:val="Heading1"/>
      </w:pPr>
      <w:r>
        <w:t xml:space="preserve">Dr. Miriam Levi – Orthodontist</w:t>
      </w:r>
    </w:p>
    <w:bookmarkStart w:id="20" w:name="certified-orthodontist-israel-jerusalem"/>
    <w:p>
      <w:pPr>
        <w:pStyle w:val="Heading2"/>
      </w:pPr>
      <w:r>
        <w:t xml:space="preserve">Certified Orthodontist | Israel Jerusalem</w:t>
      </w:r>
    </w:p>
    <w:p>
      <w:pPr>
        <w:pStyle w:val="FirstParagraph"/>
      </w:pPr>
      <w:r>
        <w:t xml:space="preserve">12 King David Street, Jerusalem 91000, Israel</w:t>
      </w:r>
    </w:p>
    <w:p>
      <w:pPr>
        <w:pStyle w:val="BodyText"/>
      </w:pPr>
      <w:r>
        <w:t xml:space="preserve">Phone: +972-2-555-0147 | Email: info@levi-ortho-jerusalem.co.il</w:t>
      </w:r>
    </w:p>
    <w:p>
      <w:pPr>
        <w:pStyle w:val="BodyText"/>
      </w:pPr>
      <w:r>
        <w:t xml:space="preserve">License No. IL-ORTHO-2019-4471 | Member, Israeli Society of Orthodontics</w:t>
      </w:r>
    </w:p>
    <w:bookmarkEnd w:id="20"/>
    <w:bookmarkEnd w:id="21"/>
    <w:p>
      <w:pPr>
        <w:pStyle w:val="BodyText"/>
      </w:pPr>
      <w:r>
        <w:t xml:space="preserve">Quotation Estimate</w:t>
      </w:r>
    </w:p>
    <w:bookmarkStart w:id="22" w:name="document-reference"/>
    <w:p>
      <w:pPr>
        <w:pStyle w:val="Heading3"/>
      </w:pPr>
      <w:r>
        <w:t xml:space="preserve">Document Reference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p>
        </w:tc>
        <w:tc>
          <w:tcPr/>
          <w:p>
            <w:pPr>
              <w:pStyle w:val="Compact"/>
              <w:jc w:val="left"/>
            </w:pPr>
            <w:r>
              <w:t xml:space="preserve">QE-2025-JER-0847</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July 2025 (30 calendar days)</w:t>
            </w:r>
          </w:p>
        </w:tc>
      </w:tr>
      <w:tr>
        <w:tc>
          <w:tcPr/>
          <w:p>
            <w:pPr>
              <w:pStyle w:val="Compact"/>
              <w:jc w:val="left"/>
            </w:pPr>
            <w:r>
              <w:rPr>
                <w:bCs/>
                <w:b/>
              </w:rPr>
              <w:t xml:space="preserve">Prepared By:</w:t>
            </w:r>
          </w:p>
        </w:tc>
        <w:tc>
          <w:tcPr/>
          <w:p>
            <w:pPr>
              <w:pStyle w:val="Compact"/>
              <w:jc w:val="left"/>
            </w:pPr>
            <w:r>
              <w:t xml:space="preserve">Dr. Miriam Levi, D.D.S., M.Sc. – Orthodontist</w:t>
            </w:r>
          </w:p>
        </w:tc>
      </w:tr>
      <w:tr>
        <w:tc>
          <w:tcPr/>
          <w:p>
            <w:pPr>
              <w:pStyle w:val="Compact"/>
              <w:jc w:val="left"/>
            </w:pPr>
            <w:r>
              <w:rPr>
                <w:bCs/>
                <w:b/>
              </w:rPr>
              <w:t xml:space="preserve">Location of Practice:</w:t>
            </w:r>
          </w:p>
        </w:tc>
        <w:tc>
          <w:tcPr/>
          <w:p>
            <w:pPr>
              <w:pStyle w:val="Compact"/>
              <w:jc w:val="left"/>
            </w:pPr>
            <w:r>
              <w:t xml:space="preserve">Israel Jerusalem, Central District</w:t>
            </w:r>
          </w:p>
        </w:tc>
      </w:tr>
    </w:tbl>
    <w:bookmarkEnd w:id="22"/>
    <w:bookmarkStart w:id="23" w:name="client-information"/>
    <w:p>
      <w:pPr>
        <w:pStyle w:val="Heading3"/>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Patient Name:</w:t>
            </w:r>
          </w:p>
        </w:tc>
        <w:tc>
          <w:tcPr/>
          <w:p>
            <w:pPr>
              <w:pStyle w:val="Compact"/>
              <w:jc w:val="left"/>
            </w:pPr>
            <w:r>
              <w:t xml:space="preserve">Mr. David Cohen</w:t>
            </w:r>
          </w:p>
        </w:tc>
      </w:tr>
      <w:tr>
        <w:tc>
          <w:tcPr/>
          <w:p>
            <w:pPr>
              <w:pStyle w:val="Compact"/>
              <w:jc w:val="left"/>
            </w:pPr>
            <w:r>
              <w:rPr>
                <w:bCs/>
                <w:b/>
              </w:rPr>
              <w:t xml:space="preserve">ID Number:</w:t>
            </w:r>
          </w:p>
        </w:tc>
        <w:tc>
          <w:tcPr/>
          <w:p>
            <w:pPr>
              <w:pStyle w:val="Compact"/>
              <w:jc w:val="left"/>
            </w:pPr>
            <w:r>
              <w:t xml:space="preserve">012-345-678</w:t>
            </w:r>
          </w:p>
        </w:tc>
      </w:tr>
      <w:tr>
        <w:tc>
          <w:tcPr/>
          <w:p>
            <w:pPr>
              <w:pStyle w:val="Compact"/>
              <w:jc w:val="left"/>
            </w:pPr>
            <w:r>
              <w:rPr>
                <w:bCs/>
                <w:b/>
              </w:rPr>
              <w:t xml:space="preserve">Address:</w:t>
            </w:r>
          </w:p>
        </w:tc>
        <w:tc>
          <w:tcPr/>
          <w:p>
            <w:pPr>
              <w:pStyle w:val="Compact"/>
              <w:jc w:val="left"/>
            </w:pPr>
            <w:r>
              <w:t xml:space="preserve">45 Herzl Boulevard, Jerusalem 91010, Israel</w:t>
            </w:r>
          </w:p>
        </w:tc>
      </w:tr>
      <w:tr>
        <w:tc>
          <w:tcPr/>
          <w:p>
            <w:pPr>
              <w:pStyle w:val="Compact"/>
              <w:jc w:val="left"/>
            </w:pPr>
            <w:r>
              <w:rPr>
                <w:bCs/>
                <w:b/>
              </w:rPr>
              <w:t xml:space="preserve">Phone:</w:t>
            </w:r>
          </w:p>
        </w:tc>
        <w:tc>
          <w:tcPr/>
          <w:p>
            <w:pPr>
              <w:pStyle w:val="Compact"/>
              <w:jc w:val="left"/>
            </w:pPr>
            <w:r>
              <w:t xml:space="preserve">+972-52-334-8891</w:t>
            </w:r>
          </w:p>
        </w:tc>
      </w:tr>
      <w:tr>
        <w:tc>
          <w:tcPr/>
          <w:p>
            <w:pPr>
              <w:pStyle w:val="Compact"/>
              <w:jc w:val="left"/>
            </w:pPr>
            <w:r>
              <w:rPr>
                <w:bCs/>
                <w:b/>
              </w:rPr>
              <w:t xml:space="preserve">Health Fund:</w:t>
            </w:r>
          </w:p>
        </w:tc>
        <w:tc>
          <w:tcPr/>
          <w:p>
            <w:pPr>
              <w:pStyle w:val="Compact"/>
              <w:jc w:val="left"/>
            </w:pPr>
            <w:r>
              <w:t xml:space="preserve">Maccabi Health Services</w:t>
            </w:r>
          </w:p>
        </w:tc>
      </w:tr>
      <w:tr>
        <w:tc>
          <w:tcPr/>
          <w:p>
            <w:pPr>
              <w:pStyle w:val="Compact"/>
              <w:jc w:val="left"/>
            </w:pPr>
            <w:r>
              <w:rPr>
                <w:bCs/>
                <w:b/>
              </w:rPr>
              <w:t xml:space="preserve">Referring Physician:</w:t>
            </w:r>
          </w:p>
        </w:tc>
        <w:tc>
          <w:tcPr/>
          <w:p>
            <w:pPr>
              <w:pStyle w:val="Compact"/>
              <w:jc w:val="left"/>
            </w:pPr>
            <w:r>
              <w:t xml:space="preserve">Dr. Aharon Katz, General Dentist, Israel Jerusalem</w:t>
            </w:r>
          </w:p>
        </w:tc>
      </w:tr>
    </w:tbl>
    <w:bookmarkEnd w:id="23"/>
    <w:bookmarkStart w:id="24" w:name="scope-of-orthodontic-treatment"/>
    <w:p>
      <w:pPr>
        <w:pStyle w:val="Heading3"/>
      </w:pPr>
      <w:r>
        <w:t xml:space="preserve">Scope of Orthodontic Treatment</w:t>
      </w:r>
    </w:p>
    <w:p>
      <w:pPr>
        <w:pStyle w:val="FirstParagraph"/>
      </w:pPr>
      <w:r>
        <w:t xml:space="preserve">Following a comprehensive clinical examination, radiographic assessment (panoramic X-ray and cephalometric analysis), and digital intraoral scanning conducted on 10 June 2025 at our clinic in Israel Jerusalem, the undersigned Orthodontist has determined that the patient requires full-arch fixed orthodontic treatment. This Quotation Estimate outlines the complete treatment plan, estimated duration, and associated costs for the orthodontic care to be provided by Dr. Miriam Levi and her team at the Israel Jerusalem practice.</w:t>
      </w:r>
    </w:p>
    <w:p>
      <w:pPr>
        <w:pStyle w:val="BodyText"/>
      </w:pPr>
      <w:r>
        <w:t xml:space="preserve">The recommended treatment involves the placement of ceramic (tooth-coloured) fixed brackets on all twenty-eight permanent teeth, with an estimated total treatment duration of twenty-four (24) months, including active treatment and a retention phase. The Orthodontist will conduct bi-weekly adjustment appointments throughout the active phase and monthly check-ups during the retention period.</w:t>
      </w:r>
    </w:p>
    <w:bookmarkEnd w:id="24"/>
    <w:bookmarkStart w:id="25"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Initial consultation, clinical examination, and digital treatment planning</w:t>
            </w:r>
          </w:p>
        </w:tc>
        <w:tc>
          <w:tcPr/>
          <w:p>
            <w:pPr>
              <w:pStyle w:val="Compact"/>
              <w:jc w:val="left"/>
            </w:pPr>
            <w:r>
              <w:t xml:space="preserve">1</w:t>
            </w:r>
          </w:p>
        </w:tc>
        <w:tc>
          <w:tcPr/>
          <w:p>
            <w:pPr>
              <w:pStyle w:val="Compact"/>
              <w:jc w:val="left"/>
            </w:pPr>
            <w:r>
              <w:t xml:space="preserve">850</w:t>
            </w:r>
          </w:p>
        </w:tc>
        <w:tc>
          <w:tcPr/>
          <w:p>
            <w:pPr>
              <w:pStyle w:val="Compact"/>
              <w:jc w:val="left"/>
            </w:pPr>
            <w:r>
              <w:t xml:space="preserve">850</w:t>
            </w:r>
          </w:p>
        </w:tc>
      </w:tr>
      <w:tr>
        <w:tc>
          <w:tcPr/>
          <w:p>
            <w:pPr>
              <w:pStyle w:val="Compact"/>
              <w:jc w:val="left"/>
            </w:pPr>
            <w:r>
              <w:t xml:space="preserve">2</w:t>
            </w:r>
          </w:p>
        </w:tc>
        <w:tc>
          <w:tcPr/>
          <w:p>
            <w:pPr>
              <w:pStyle w:val="Compact"/>
              <w:jc w:val="left"/>
            </w:pPr>
            <w:r>
              <w:t xml:space="preserve">Panoramic radiograph (OPG) and lateral cephalometric X-ray</w:t>
            </w:r>
          </w:p>
        </w:tc>
        <w:tc>
          <w:tcPr/>
          <w:p>
            <w:pPr>
              <w:pStyle w:val="Compact"/>
              <w:jc w:val="left"/>
            </w:pPr>
            <w:r>
              <w:t xml:space="preserve">1</w:t>
            </w:r>
          </w:p>
        </w:tc>
        <w:tc>
          <w:tcPr/>
          <w:p>
            <w:pPr>
              <w:pStyle w:val="Compact"/>
              <w:jc w:val="left"/>
            </w:pPr>
            <w:r>
              <w:t xml:space="preserve">420</w:t>
            </w:r>
          </w:p>
        </w:tc>
        <w:tc>
          <w:tcPr/>
          <w:p>
            <w:pPr>
              <w:pStyle w:val="Compact"/>
              <w:jc w:val="left"/>
            </w:pPr>
            <w:r>
              <w:t xml:space="preserve">420</w:t>
            </w:r>
          </w:p>
        </w:tc>
      </w:tr>
      <w:tr>
        <w:tc>
          <w:tcPr/>
          <w:p>
            <w:pPr>
              <w:pStyle w:val="Compact"/>
              <w:jc w:val="left"/>
            </w:pPr>
            <w:r>
              <w:t xml:space="preserve">3</w:t>
            </w:r>
          </w:p>
        </w:tc>
        <w:tc>
          <w:tcPr/>
          <w:p>
            <w:pPr>
              <w:pStyle w:val="Compact"/>
              <w:jc w:val="left"/>
            </w:pPr>
            <w:r>
              <w:t xml:space="preserve">Digital intraoral scan (iTero) for 3D treatment simulation</w:t>
            </w:r>
          </w:p>
        </w:tc>
        <w:tc>
          <w:tcPr/>
          <w:p>
            <w:pPr>
              <w:pStyle w:val="Compact"/>
              <w:jc w:val="left"/>
            </w:pPr>
            <w:r>
              <w:t xml:space="preserve">1</w:t>
            </w:r>
          </w:p>
        </w:tc>
        <w:tc>
          <w:tcPr/>
          <w:p>
            <w:pPr>
              <w:pStyle w:val="Compact"/>
              <w:jc w:val="left"/>
            </w:pPr>
            <w:r>
              <w:t xml:space="preserve">650</w:t>
            </w:r>
          </w:p>
        </w:tc>
        <w:tc>
          <w:tcPr/>
          <w:p>
            <w:pPr>
              <w:pStyle w:val="Compact"/>
              <w:jc w:val="left"/>
            </w:pPr>
            <w:r>
              <w:t xml:space="preserve">650</w:t>
            </w:r>
          </w:p>
        </w:tc>
      </w:tr>
      <w:tr>
        <w:tc>
          <w:tcPr/>
          <w:p>
            <w:pPr>
              <w:pStyle w:val="Compact"/>
              <w:jc w:val="left"/>
            </w:pPr>
            <w:r>
              <w:t xml:space="preserve">4</w:t>
            </w:r>
          </w:p>
        </w:tc>
        <w:tc>
          <w:tcPr/>
          <w:p>
            <w:pPr>
              <w:pStyle w:val="Compact"/>
              <w:jc w:val="left"/>
            </w:pPr>
            <w:r>
              <w:t xml:space="preserve">Pre-treatment periodontal evaluation and professional hygiene (scaling and polishing)</w:t>
            </w:r>
          </w:p>
        </w:tc>
        <w:tc>
          <w:tcPr/>
          <w:p>
            <w:pPr>
              <w:pStyle w:val="Compact"/>
              <w:jc w:val="left"/>
            </w:pPr>
            <w:r>
              <w:t xml:space="preserve">1</w:t>
            </w:r>
          </w:p>
        </w:tc>
        <w:tc>
          <w:tcPr/>
          <w:p>
            <w:pPr>
              <w:pStyle w:val="Compact"/>
              <w:jc w:val="left"/>
            </w:pPr>
            <w:r>
              <w:t xml:space="preserve">780</w:t>
            </w:r>
          </w:p>
        </w:tc>
        <w:tc>
          <w:tcPr/>
          <w:p>
            <w:pPr>
              <w:pStyle w:val="Compact"/>
              <w:jc w:val="left"/>
            </w:pPr>
            <w:r>
              <w:t xml:space="preserve">780</w:t>
            </w:r>
          </w:p>
        </w:tc>
      </w:tr>
      <w:tr>
        <w:tc>
          <w:tcPr/>
          <w:p>
            <w:pPr>
              <w:pStyle w:val="Compact"/>
              <w:jc w:val="left"/>
            </w:pPr>
            <w:r>
              <w:t xml:space="preserve">5</w:t>
            </w:r>
          </w:p>
        </w:tc>
        <w:tc>
          <w:tcPr/>
          <w:p>
            <w:pPr>
              <w:pStyle w:val="Compact"/>
              <w:jc w:val="left"/>
            </w:pPr>
            <w:r>
              <w:t xml:space="preserve">Placement of ceramic fixed brackets – full arch (upper and lower), 28 brackets</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6</w:t>
            </w:r>
          </w:p>
        </w:tc>
        <w:tc>
          <w:tcPr/>
          <w:p>
            <w:pPr>
              <w:pStyle w:val="Compact"/>
              <w:jc w:val="left"/>
            </w:pPr>
            <w:r>
              <w:t xml:space="preserve">Archwires, ligatures, and auxiliary orthodontic appliances (full treatment duration)</w:t>
            </w:r>
          </w:p>
        </w:tc>
        <w:tc>
          <w:tcPr/>
          <w:p>
            <w:pPr>
              <w:pStyle w:val="Compact"/>
              <w:jc w:val="left"/>
            </w:pPr>
            <w:r>
              <w:t xml:space="preserve">1</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7</w:t>
            </w:r>
          </w:p>
        </w:tc>
        <w:tc>
          <w:tcPr/>
          <w:p>
            <w:pPr>
              <w:pStyle w:val="Compact"/>
              <w:jc w:val="left"/>
            </w:pPr>
            <w:r>
              <w:t xml:space="preserve">Bi-weekly adjustment and monitoring appointments (approximately 48 visits over 24 months)</w:t>
            </w:r>
          </w:p>
        </w:tc>
        <w:tc>
          <w:tcPr/>
          <w:p>
            <w:pPr>
              <w:pStyle w:val="Compact"/>
              <w:jc w:val="left"/>
            </w:pPr>
            <w:r>
              <w:t xml:space="preserve">48</w:t>
            </w:r>
          </w:p>
        </w:tc>
        <w:tc>
          <w:tcPr/>
          <w:p>
            <w:pPr>
              <w:pStyle w:val="Compact"/>
              <w:jc w:val="left"/>
            </w:pPr>
            <w:r>
              <w:t xml:space="preserve">350</w:t>
            </w:r>
          </w:p>
        </w:tc>
        <w:tc>
          <w:tcPr/>
          <w:p>
            <w:pPr>
              <w:pStyle w:val="Compact"/>
              <w:jc w:val="left"/>
            </w:pPr>
            <w:r>
              <w:t xml:space="preserve">16,800</w:t>
            </w:r>
          </w:p>
        </w:tc>
      </w:tr>
      <w:tr>
        <w:tc>
          <w:tcPr/>
          <w:p>
            <w:pPr>
              <w:pStyle w:val="Compact"/>
              <w:jc w:val="left"/>
            </w:pPr>
            <w:r>
              <w:t xml:space="preserve">8</w:t>
            </w:r>
          </w:p>
        </w:tc>
        <w:tc>
          <w:tcPr/>
          <w:p>
            <w:pPr>
              <w:pStyle w:val="Compact"/>
              <w:jc w:val="left"/>
            </w:pPr>
            <w:r>
              <w:t xml:space="preserve">Interproximal reduction (IPR) – selective enamel stripping (estimated 12 surfaces)</w:t>
            </w:r>
          </w:p>
        </w:tc>
        <w:tc>
          <w:tcPr/>
          <w:p>
            <w:pPr>
              <w:pStyle w:val="Compact"/>
              <w:jc w:val="left"/>
            </w:pPr>
            <w:r>
              <w:t xml:space="preserve">1</w:t>
            </w:r>
          </w:p>
        </w:tc>
        <w:tc>
          <w:tcPr/>
          <w:p>
            <w:pPr>
              <w:pStyle w:val="Compact"/>
              <w:jc w:val="left"/>
            </w:pPr>
            <w:r>
              <w:t xml:space="preserve">1,800</w:t>
            </w:r>
          </w:p>
        </w:tc>
        <w:tc>
          <w:tcPr/>
          <w:p>
            <w:pPr>
              <w:pStyle w:val="Compact"/>
              <w:jc w:val="left"/>
            </w:pPr>
            <w:r>
              <w:t xml:space="preserve">1,800</w:t>
            </w:r>
          </w:p>
        </w:tc>
      </w:tr>
      <w:tr>
        <w:tc>
          <w:tcPr/>
          <w:p>
            <w:pPr>
              <w:pStyle w:val="Compact"/>
              <w:jc w:val="left"/>
            </w:pPr>
            <w:r>
              <w:t xml:space="preserve">9</w:t>
            </w:r>
          </w:p>
        </w:tc>
        <w:tc>
          <w:tcPr/>
          <w:p>
            <w:pPr>
              <w:pStyle w:val="Compact"/>
              <w:jc w:val="left"/>
            </w:pPr>
            <w:r>
              <w:t xml:space="preserve">Removal of fixed appliances and final bite registration</w:t>
            </w:r>
          </w:p>
        </w:tc>
        <w:tc>
          <w:tcPr/>
          <w:p>
            <w:pPr>
              <w:pStyle w:val="Compact"/>
              <w:jc w:val="left"/>
            </w:pPr>
            <w:r>
              <w:t xml:space="preserve">1</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10</w:t>
            </w:r>
          </w:p>
        </w:tc>
        <w:tc>
          <w:tcPr/>
          <w:p>
            <w:pPr>
              <w:pStyle w:val="Compact"/>
              <w:jc w:val="left"/>
            </w:pPr>
            <w:r>
              <w:t xml:space="preserve">Post-treatment retention: fixed lingual retainers (upper and lower) + removable Essix retainers (2 sets)</w:t>
            </w:r>
          </w:p>
        </w:tc>
        <w:tc>
          <w:tcPr/>
          <w:p>
            <w:pPr>
              <w:pStyle w:val="Compact"/>
              <w:jc w:val="left"/>
            </w:pPr>
            <w:r>
              <w:t xml:space="preserve">1</w:t>
            </w:r>
          </w:p>
        </w:tc>
        <w:tc>
          <w:tcPr/>
          <w:p>
            <w:pPr>
              <w:pStyle w:val="Compact"/>
              <w:jc w:val="left"/>
            </w:pPr>
            <w:r>
              <w:t xml:space="preserve">2,400</w:t>
            </w:r>
          </w:p>
        </w:tc>
        <w:tc>
          <w:tcPr/>
          <w:p>
            <w:pPr>
              <w:pStyle w:val="Compact"/>
              <w:jc w:val="left"/>
            </w:pPr>
            <w:r>
              <w:t xml:space="preserve">2,400</w:t>
            </w:r>
          </w:p>
        </w:tc>
      </w:tr>
      <w:tr>
        <w:tc>
          <w:tcPr/>
          <w:p>
            <w:pPr>
              <w:pStyle w:val="Compact"/>
              <w:jc w:val="left"/>
            </w:pPr>
            <w:r>
              <w:t xml:space="preserve">11</w:t>
            </w:r>
          </w:p>
        </w:tc>
        <w:tc>
          <w:tcPr/>
          <w:p>
            <w:pPr>
              <w:pStyle w:val="Compact"/>
              <w:jc w:val="left"/>
            </w:pPr>
            <w:r>
              <w:t xml:space="preserve">Post-treatment radiographic follow-up (OPG at 6 months and 12 months)</w:t>
            </w:r>
          </w:p>
        </w:tc>
        <w:tc>
          <w:tcPr/>
          <w:p>
            <w:pPr>
              <w:pStyle w:val="Compact"/>
              <w:jc w:val="left"/>
            </w:pPr>
            <w:r>
              <w:t xml:space="preserve">2</w:t>
            </w:r>
          </w:p>
        </w:tc>
        <w:tc>
          <w:tcPr/>
          <w:p>
            <w:pPr>
              <w:pStyle w:val="Compact"/>
              <w:jc w:val="left"/>
            </w:pPr>
            <w:r>
              <w:t xml:space="preserve">420</w:t>
            </w:r>
          </w:p>
        </w:tc>
        <w:tc>
          <w:tcPr/>
          <w:p>
            <w:pPr>
              <w:pStyle w:val="Compact"/>
              <w:jc w:val="left"/>
            </w:pPr>
            <w:r>
              <w:t xml:space="preserve">840</w:t>
            </w:r>
          </w:p>
        </w:tc>
      </w:tr>
      <w:tr>
        <w:tc>
          <w:tcPr/>
          <w:p>
            <w:pPr>
              <w:pStyle w:val="Compact"/>
              <w:jc w:val="left"/>
            </w:pPr>
            <w:r>
              <w:t xml:space="preserve">12</w:t>
            </w:r>
          </w:p>
        </w:tc>
        <w:tc>
          <w:tcPr/>
          <w:p>
            <w:pPr>
              <w:pStyle w:val="Compact"/>
              <w:jc w:val="left"/>
            </w:pPr>
            <w:r>
              <w:t xml:space="preserve">Emergency orthodontic visits (wire breakage, bracket detachment) – estimated 2 visits</w:t>
            </w:r>
          </w:p>
        </w:tc>
        <w:tc>
          <w:tcPr/>
          <w:p>
            <w:pPr>
              <w:pStyle w:val="Compact"/>
              <w:jc w:val="left"/>
            </w:pPr>
            <w:r>
              <w:t xml:space="preserve">2</w:t>
            </w:r>
          </w:p>
        </w:tc>
        <w:tc>
          <w:tcPr/>
          <w:p>
            <w:pPr>
              <w:pStyle w:val="Compact"/>
              <w:jc w:val="left"/>
            </w:pPr>
            <w:r>
              <w:t xml:space="preserve">300</w:t>
            </w:r>
          </w:p>
        </w:tc>
        <w:tc>
          <w:tcPr/>
          <w:p>
            <w:pPr>
              <w:pStyle w:val="Compact"/>
              <w:jc w:val="left"/>
            </w:pPr>
            <w:r>
              <w:t xml:space="preserve">600</w:t>
            </w:r>
          </w:p>
        </w:tc>
      </w:tr>
      <w:tr>
        <w:tc>
          <w:tcPr>
            <w:gridSpan w:val="4"/>
          </w:tcPr>
          <w:p>
            <w:pPr>
              <w:pStyle w:val="Compact"/>
              <w:jc w:val="left"/>
            </w:pPr>
            <w:r>
              <w:rPr>
                <w:bCs/>
                <w:b/>
              </w:rPr>
              <w:t xml:space="preserve">GRAND TOTAL (VAT 18% included)</w:t>
            </w:r>
          </w:p>
        </w:tc>
        <w:tc>
          <w:tcPr/>
          <w:p>
            <w:pPr>
              <w:pStyle w:val="Compact"/>
              <w:jc w:val="left"/>
            </w:pPr>
            <w:r>
              <w:rPr>
                <w:bCs/>
                <w:b/>
              </w:rPr>
              <w:t xml:space="preserve">42,040</w:t>
            </w:r>
          </w:p>
        </w:tc>
      </w:tr>
    </w:tbl>
    <w:p>
      <w:pPr>
        <w:pStyle w:val="BodyText"/>
      </w:pPr>
      <w:r>
        <w:t xml:space="preserve">All prices are quoted in Israeli New Shekels (ILS) and include 18% Value Added Tax (VAT) as mandated by the Israel Tax Authority. This Quotation Estimate does not include the cost of any additional dental procedures (e.g., extractions, restorations) that may be identified during the course of treatment. Such additional procedures will be subject to a separate written estimate approved by the patient prior to execution.</w:t>
      </w:r>
    </w:p>
    <w:bookmarkEnd w:id="25"/>
    <w:bookmarkStart w:id="26" w:name="payment-schedule"/>
    <w:p>
      <w:pPr>
        <w:pStyle w:val="Heading3"/>
      </w:pPr>
      <w:r>
        <w:t xml:space="preserve">Payment Schedule</w:t>
      </w:r>
    </w:p>
    <w:p>
      <w:pPr>
        <w:pStyle w:val="FirstParagraph"/>
      </w:pPr>
      <w:r>
        <w:t xml:space="preserve">The Orthodontist in Israel Jerusalem offers the following payment structure for this Quotation Estimate: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Installment</w:t>
            </w:r>
          </w:p>
        </w:tc>
        <w:tc>
          <w:tcPr/>
          <w:p>
            <w:pPr>
              <w:pStyle w:val="Compact"/>
              <w:jc w:val="left"/>
            </w:pPr>
            <w:r>
              <w:t xml:space="preserve">Due Date</w:t>
            </w:r>
          </w:p>
        </w:tc>
        <w:tc>
          <w:tcPr/>
          <w:p>
            <w:pPr>
              <w:pStyle w:val="Compact"/>
              <w:jc w:val="left"/>
            </w:pPr>
            <w:r>
              <w:t xml:space="preserve">Amount (ILS)</w:t>
            </w:r>
          </w:p>
        </w:tc>
      </w:tr>
      <w:tr>
        <w:tc>
          <w:tcPr/>
          <w:p>
            <w:pPr>
              <w:pStyle w:val="Compact"/>
              <w:jc w:val="left"/>
            </w:pPr>
            <w:r>
              <w:t xml:space="preserve">1st – Upon acceptance of this Quotation Estimate</w:t>
            </w:r>
          </w:p>
        </w:tc>
        <w:tc>
          <w:tcPr/>
          <w:p>
            <w:pPr>
              <w:pStyle w:val="Compact"/>
              <w:jc w:val="left"/>
            </w:pPr>
            <w:r>
              <w:t xml:space="preserve">14 June 2025</w:t>
            </w:r>
          </w:p>
        </w:tc>
        <w:tc>
          <w:tcPr/>
          <w:p>
            <w:pPr>
              <w:pStyle w:val="Compact"/>
              <w:jc w:val="left"/>
            </w:pPr>
            <w:r>
              <w:t xml:space="preserve">10,510</w:t>
            </w:r>
          </w:p>
        </w:tc>
      </w:tr>
      <w:tr>
        <w:tc>
          <w:tcPr/>
          <w:p>
            <w:pPr>
              <w:pStyle w:val="Compact"/>
              <w:jc w:val="left"/>
            </w:pPr>
            <w:r>
              <w:t xml:space="preserve">2nd – At bracket placement (Month 1)</w:t>
            </w:r>
          </w:p>
        </w:tc>
        <w:tc>
          <w:tcPr/>
          <w:p>
            <w:pPr>
              <w:pStyle w:val="Compact"/>
              <w:jc w:val="left"/>
            </w:pPr>
            <w:r>
              <w:t xml:space="preserve">July 2025</w:t>
            </w:r>
          </w:p>
        </w:tc>
        <w:tc>
          <w:tcPr/>
          <w:p>
            <w:pPr>
              <w:pStyle w:val="Compact"/>
              <w:jc w:val="left"/>
            </w:pPr>
            <w:r>
              <w:t xml:space="preserve">10,510</w:t>
            </w:r>
          </w:p>
        </w:tc>
      </w:tr>
      <w:tr>
        <w:tc>
          <w:tcPr/>
          <w:p>
            <w:pPr>
              <w:pStyle w:val="Compact"/>
              <w:jc w:val="left"/>
            </w:pPr>
            <w:r>
              <w:t xml:space="preserve">3rd – Mid-treatment (Month 12)</w:t>
            </w:r>
          </w:p>
        </w:tc>
        <w:tc>
          <w:tcPr/>
          <w:p>
            <w:pPr>
              <w:pStyle w:val="Compact"/>
              <w:jc w:val="left"/>
            </w:pPr>
            <w:r>
              <w:t xml:space="preserve">June 2026</w:t>
            </w:r>
          </w:p>
        </w:tc>
        <w:tc>
          <w:tcPr/>
          <w:p>
            <w:pPr>
              <w:pStyle w:val="Compact"/>
              <w:jc w:val="left"/>
            </w:pPr>
            <w:r>
              <w:t xml:space="preserve">10,510</w:t>
            </w:r>
          </w:p>
        </w:tc>
      </w:tr>
      <w:tr>
        <w:tc>
          <w:tcPr/>
          <w:p>
            <w:pPr>
              <w:pStyle w:val="Compact"/>
              <w:jc w:val="left"/>
            </w:pPr>
            <w:r>
              <w:t xml:space="preserve">4th – At appliance removal (Month 24)</w:t>
            </w:r>
          </w:p>
        </w:tc>
        <w:tc>
          <w:tcPr/>
          <w:p>
            <w:pPr>
              <w:pStyle w:val="Compact"/>
              <w:jc w:val="left"/>
            </w:pPr>
            <w:r>
              <w:t xml:space="preserve">June 2027</w:t>
            </w:r>
          </w:p>
        </w:tc>
        <w:tc>
          <w:tcPr/>
          <w:p>
            <w:pPr>
              <w:pStyle w:val="Compact"/>
              <w:jc w:val="left"/>
            </w:pPr>
            <w:r>
              <w:t xml:space="preserve">10,510</w:t>
            </w:r>
          </w:p>
        </w:tc>
      </w:tr>
    </w:tbl>
    <w:p>
      <w:pPr>
        <w:pStyle w:val="BodyText"/>
      </w:pPr>
      <w:r>
        <w:t xml:space="preserve">Alternative payment via Maccabi Health Services reimbursement (up to 40% of the approved orthodontic fee schedule) may be applied. The patient is responsible for the remaining balance. A 1.5% monthly interest will be applied to any overdue installment.</w:t>
      </w:r>
    </w:p>
    <w:bookmarkEnd w:id="26"/>
    <w:bookmarkStart w:id="27" w:name="terms-and-conditions"/>
    <w:p>
      <w:pPr>
        <w:pStyle w:val="Heading3"/>
      </w:pPr>
      <w:r>
        <w:t xml:space="preserve">Terms and Conditions</w:t>
      </w:r>
    </w:p>
    <w:p>
      <w:pPr>
        <w:pStyle w:val="FirstParagraph"/>
      </w:pPr>
      <w:r>
        <w:t xml:space="preserve">1. This Quotation Estimate is valid for thirty (30) days from the date of issue. After the expiry date, the Orthodontist reserves the right to revise pricing due to changes in material costs, supplier pricing, or regulatory adjustments within Israel.</w:t>
      </w:r>
    </w:p>
    <w:p>
      <w:pPr>
        <w:pStyle w:val="BodyText"/>
      </w:pPr>
      <w:r>
        <w:t xml:space="preserve">2. The estimated treatment duration of twenty-four months is a clinical projection. The actual duration may vary depending on the patient's biological response, compliance with oral hygiene instructions, and attendance at all scheduled appointments at the Israel Jerusalem clinic.</w:t>
      </w:r>
    </w:p>
    <w:p>
      <w:pPr>
        <w:pStyle w:val="BodyText"/>
      </w:pPr>
      <w:r>
        <w:t xml:space="preserve">3. The patient agrees to attend all bi-weekly adjustment appointments. Missed appointments exceeding three (3) consecutive visits may result in a re-evaluation fee of 500 ILS per visit.</w:t>
      </w:r>
    </w:p>
    <w:p>
      <w:pPr>
        <w:pStyle w:val="BodyText"/>
      </w:pPr>
      <w:r>
        <w:t xml:space="preserve">4. In the event of early discontinuation of treatment at the patient's request, a pro-rata charge for unused appointments and materials will apply as determined by the Orthodontist.</w:t>
      </w:r>
    </w:p>
    <w:p>
      <w:pPr>
        <w:pStyle w:val="BodyText"/>
      </w:pPr>
      <w:r>
        <w:t xml:space="preserve">5. This Quotation Estimate does not constitute a guarantee of a specific aesthetic or functional outcome. The Orthodontist will exercise the highest standard of clinical care in accordance with the guidelines of the Israeli Society of Orthodontics and the regulations of the Israeli Ministry of Health.</w:t>
      </w:r>
    </w:p>
    <w:p>
      <w:pPr>
        <w:pStyle w:val="BodyText"/>
      </w:pPr>
      <w:r>
        <w:t xml:space="preserve">6. All personal health data collected in connection with this treatment will be handled in strict compliance with the Israeli Privacy Protection Law, 5741-1981, and the regulations of the Israel Jerusalem medical data authority.</w:t>
      </w:r>
    </w:p>
    <w:p>
      <w:pPr>
        <w:pStyle w:val="BodyText"/>
      </w:pPr>
      <w:r>
        <w:t xml:space="preserve">7. Any disputes arising from this Quotation Estimate shall be subject to the jurisdiction of the competent courts in Jerusalem, Israel.</w:t>
      </w:r>
    </w:p>
    <w:bookmarkEnd w:id="27"/>
    <w:bookmarkStart w:id="28" w:name="acceptance-and-authorization"/>
    <w:p>
      <w:pPr>
        <w:pStyle w:val="Heading3"/>
      </w:pPr>
      <w:r>
        <w:t xml:space="preserve">Acceptance and Authorization</w:t>
      </w:r>
    </w:p>
    <w:p>
      <w:pPr>
        <w:pStyle w:val="FirstParagraph"/>
      </w:pPr>
      <w:r>
        <w:t xml:space="preserve">By signing below, the patient acknowledges having received and reviewed this Quotation Estimate in full. The patient confirms that the Orthodontist has explained the proposed treatment plan, alternative options (including clear aligner therapy and no treatment), potential risks, and the total estimated cost. The patient authorizes Dr. Miriam Levi and the Israel Jerusalem orthodontic team to commence treatment as described herein.</w:t>
      </w:r>
    </w:p>
    <w:bookmarkEnd w:id="28"/>
    <w:p>
      <w:pPr>
        <w:pStyle w:val="BodyText"/>
      </w:pPr>
      <w:r>
        <w:rPr>
          <w:bCs/>
          <w:b/>
        </w:rPr>
        <w:t xml:space="preserve">For the Orthodontist (Israel Jerusalem):</w:t>
      </w:r>
    </w:p>
    <w:p>
      <w:pPr>
        <w:pStyle w:val="BodyText"/>
      </w:pPr>
      <w:r>
        <w:t xml:space="preserve">Dr. Miriam Levi, D.D.S., M.Sc.</w:t>
      </w:r>
      <w:r>
        <w:br/>
      </w:r>
      <w:r>
        <w:t xml:space="preserve">Orthodontist – License No. IL-ORTHO-2019-4471</w:t>
      </w:r>
      <w:r>
        <w:br/>
      </w:r>
      <w:r>
        <w:t xml:space="preserve">Date: _______________</w:t>
      </w:r>
    </w:p>
    <w:p>
      <w:pPr>
        <w:pStyle w:val="BodyText"/>
      </w:pPr>
      <w:r>
        <w:rPr>
          <w:bCs/>
          <w:b/>
        </w:rPr>
        <w:t xml:space="preserve">Patient / Authorized Guardian:</w:t>
      </w:r>
    </w:p>
    <w:p>
      <w:pPr>
        <w:pStyle w:val="BodyText"/>
      </w:pPr>
      <w:r>
        <w:t xml:space="preserve">Mr. David Cohen</w:t>
      </w:r>
      <w:r>
        <w:br/>
      </w:r>
      <w:r>
        <w:t xml:space="preserve">ID: 012-345-678</w:t>
      </w:r>
      <w:r>
        <w:br/>
      </w:r>
      <w:r>
        <w:t xml:space="preserve">Date: _______________</w:t>
      </w:r>
    </w:p>
    <w:p>
      <w:pPr>
        <w:pStyle w:val="BodyText"/>
      </w:pPr>
      <w:r>
        <w:t xml:space="preserve">This Quotation Estimate was prepared by the office of Dr. Miriam Levi, Orthodontist, Israel Jerusalem. Document QE-2025-JER-0847. For inquiries, please contact the clinic at +972-2-555-0147 during business hours (Sunday–Thursday, 08:00–17:00).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Israel Jerusalem</dc:title>
  <dc:creator/>
  <dc:language>en</dc:language>
  <cp:keywords/>
  <dcterms:created xsi:type="dcterms:W3CDTF">2026-10-10T07:23:16Z</dcterms:created>
  <dcterms:modified xsi:type="dcterms:W3CDTF">2026-10-10T07:23:16Z</dcterms:modified>
</cp:coreProperties>
</file>

<file path=docProps/custom.xml><?xml version="1.0" encoding="utf-8"?>
<Properties xmlns="http://schemas.openxmlformats.org/officeDocument/2006/custom-properties" xmlns:vt="http://schemas.openxmlformats.org/officeDocument/2006/docPropsVTypes"/>
</file>