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Kuwait</w:t>
      </w:r>
      <w:r>
        <w:t xml:space="preserve"> </w:t>
      </w:r>
      <w:r>
        <w:t xml:space="preserve">Kuwait</w:t>
      </w:r>
      <w:r>
        <w:t xml:space="preserve"> </w:t>
      </w:r>
      <w:r>
        <w:t xml:space="preserve">City</w:t>
      </w:r>
    </w:p>
    <w:bookmarkStart w:id="21" w:name="quotation-estimate"/>
    <w:p>
      <w:pPr>
        <w:pStyle w:val="Heading1"/>
      </w:pPr>
      <w:r>
        <w:t xml:space="preserve">QUOTATION ESTIMATE</w:t>
      </w:r>
    </w:p>
    <w:bookmarkStart w:id="20" w:name="al-nahda-orthodontic-center"/>
    <w:p>
      <w:pPr>
        <w:pStyle w:val="Heading2"/>
      </w:pPr>
      <w:r>
        <w:t xml:space="preserve">Al-Nahda Orthodontic Center</w:t>
      </w:r>
    </w:p>
    <w:p>
      <w:pPr>
        <w:pStyle w:val="FirstParagraph"/>
      </w:pPr>
      <w:r>
        <w:t xml:space="preserve">Specialized Orthodontist Practice | Kuwait, Kuwait City</w:t>
      </w:r>
    </w:p>
    <w:p>
      <w:pPr>
        <w:pStyle w:val="BodyText"/>
      </w:pPr>
      <w:r>
        <w:t xml:space="preserve">Street: Al-Salimiyah, Block 4, Street 12, Building 8, Kuwait City, Kuwait</w:t>
      </w:r>
    </w:p>
    <w:p>
      <w:pPr>
        <w:pStyle w:val="BodyText"/>
      </w:pPr>
      <w:r>
        <w:t xml:space="preserve">Phone: +965 2244 5566 | Email: info@alnahdaortho-kw.com</w:t>
      </w:r>
    </w:p>
    <w:p>
      <w:pPr>
        <w:pStyle w:val="BodyText"/>
      </w:pPr>
      <w:r>
        <w:t xml:space="preserve">Ministry of Health License No. KMOH-ORT-2019-0472</w:t>
      </w:r>
    </w:p>
    <w:bookmarkEnd w:id="20"/>
    <w:bookmarkEnd w:id="21"/>
    <w:p>
      <w:pPr>
        <w:pStyle w:val="BodyText"/>
      </w:pPr>
      <w:r>
        <w:rPr>
          <w:bCs/>
          <w:b/>
        </w:rPr>
        <w:t xml:space="preserve">Quotation Estimate No.:</w:t>
      </w:r>
      <w:r>
        <w:t xml:space="preserve"> </w:t>
      </w:r>
      <w:r>
        <w:t xml:space="preserve">QE-2025-07834</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t xml:space="preserve">Patient / Client Information</w:t>
      </w:r>
    </w:p>
    <w:bookmarkStart w:id="22" w:name="recipient-details"/>
    <w:p>
      <w:pPr>
        <w:pStyle w:val="Heading3"/>
      </w:pPr>
      <w:r>
        <w:t xml:space="preserve">Recipient Details</w:t>
      </w:r>
    </w:p>
    <w:p>
      <w:pPr>
        <w:pStyle w:val="FirstParagraph"/>
      </w:pPr>
      <w:r>
        <w:rPr>
          <w:bCs/>
          <w:b/>
        </w:rPr>
        <w:t xml:space="preserve">Patient Name:</w:t>
      </w:r>
      <w:r>
        <w:t xml:space="preserve"> </w:t>
      </w:r>
      <w:r>
        <w:t xml:space="preserve">Mr. Ahmed Al-Rashidi</w:t>
      </w:r>
    </w:p>
    <w:p>
      <w:pPr>
        <w:pStyle w:val="BodyText"/>
      </w:pPr>
      <w:r>
        <w:rPr>
          <w:bCs/>
          <w:b/>
        </w:rPr>
        <w:t xml:space="preserve">Civil ID No.:</w:t>
      </w:r>
      <w:r>
        <w:t xml:space="preserve"> </w:t>
      </w:r>
      <w:r>
        <w:t xml:space="preserve">2890115-2890-001</w:t>
      </w:r>
    </w:p>
    <w:p>
      <w:pPr>
        <w:pStyle w:val="BodyText"/>
      </w:pPr>
      <w:r>
        <w:rPr>
          <w:bCs/>
          <w:b/>
        </w:rPr>
        <w:t xml:space="preserve">Address:</w:t>
      </w:r>
      <w:r>
        <w:t xml:space="preserve"> </w:t>
      </w:r>
      <w:r>
        <w:t xml:space="preserve">Salmiya, Block 1, Street 3, House 45, Kuwait City, Kuwait</w:t>
      </w:r>
    </w:p>
    <w:p>
      <w:pPr>
        <w:pStyle w:val="BodyText"/>
      </w:pPr>
      <w:r>
        <w:rPr>
          <w:bCs/>
          <w:b/>
        </w:rPr>
        <w:t xml:space="preserve">Phone:</w:t>
      </w:r>
      <w:r>
        <w:t xml:space="preserve"> </w:t>
      </w:r>
      <w:r>
        <w:t xml:space="preserve">+965 9988 7766</w:t>
      </w:r>
    </w:p>
    <w:p>
      <w:pPr>
        <w:pStyle w:val="BodyText"/>
      </w:pPr>
      <w:r>
        <w:rPr>
          <w:bCs/>
          <w:b/>
        </w:rPr>
        <w:t xml:space="preserve">Referring Physician:</w:t>
      </w:r>
      <w:r>
        <w:t xml:space="preserve"> </w:t>
      </w:r>
      <w:r>
        <w:t xml:space="preserve">Dr. Fatima Al-Sabah (General Dentist, Kuwait City)</w:t>
      </w:r>
    </w:p>
    <w:p>
      <w:pPr>
        <w:pStyle w:val="BodyText"/>
      </w:pPr>
      <w:r>
        <w:rPr>
          <w:bCs/>
          <w:b/>
        </w:rPr>
        <w:t xml:space="preserve">Insurance Provider:</w:t>
      </w:r>
      <w:r>
        <w:t xml:space="preserve"> </w:t>
      </w:r>
      <w:r>
        <w:t xml:space="preserve">Bupa Kuwait (Policy No. BUP-KW-4452190)</w:t>
      </w:r>
    </w:p>
    <w:bookmarkEnd w:id="22"/>
    <w:p>
      <w:pPr>
        <w:pStyle w:val="BodyText"/>
      </w:pPr>
      <w:r>
        <w:t xml:space="preserve">Orthodontist &amp; Practice Details</w:t>
      </w:r>
    </w:p>
    <w:bookmarkStart w:id="23" w:name="attending-orthodontist"/>
    <w:p>
      <w:pPr>
        <w:pStyle w:val="Heading3"/>
      </w:pPr>
      <w:r>
        <w:t xml:space="preserve">Attending Orthodontist</w:t>
      </w:r>
    </w:p>
    <w:p>
      <w:pPr>
        <w:pStyle w:val="FirstParagraph"/>
      </w:pPr>
      <w:r>
        <w:rPr>
          <w:bCs/>
          <w:b/>
        </w:rPr>
        <w:t xml:space="preserve">Lead Orthodontist:</w:t>
      </w:r>
      <w:r>
        <w:t xml:space="preserve"> </w:t>
      </w:r>
      <w:r>
        <w:t xml:space="preserve">Dr. Khalid Al-Mutawa, BDS, MSc (Orthodontics), FRCPS (Edin)</w:t>
      </w:r>
    </w:p>
    <w:p>
      <w:pPr>
        <w:pStyle w:val="BodyText"/>
      </w:pPr>
      <w:r>
        <w:rPr>
          <w:bCs/>
          <w:b/>
        </w:rPr>
        <w:t xml:space="preserve">Specialization:</w:t>
      </w:r>
      <w:r>
        <w:t xml:space="preserve"> </w:t>
      </w:r>
      <w:r>
        <w:t xml:space="preserve">Comprehensive Orthodontic Treatment, Clear Aligners, Surgical Orthodontics</w:t>
      </w:r>
    </w:p>
    <w:p>
      <w:pPr>
        <w:pStyle w:val="BodyText"/>
      </w:pPr>
      <w:r>
        <w:rPr>
          <w:bCs/>
          <w:b/>
        </w:rPr>
        <w:t xml:space="preserve">Years of Experience:</w:t>
      </w:r>
      <w:r>
        <w:t xml:space="preserve"> </w:t>
      </w:r>
      <w:r>
        <w:t xml:space="preserve">18 years in Kuwait, Kuwait City</w:t>
      </w:r>
    </w:p>
    <w:p>
      <w:pPr>
        <w:pStyle w:val="BodyText"/>
      </w:pPr>
      <w:r>
        <w:rPr>
          <w:bCs/>
          <w:b/>
        </w:rPr>
        <w:t xml:space="preserve">Professional Registration:</w:t>
      </w:r>
      <w:r>
        <w:t xml:space="preserve"> </w:t>
      </w:r>
      <w:r>
        <w:t xml:space="preserve">Kuwait Medical Specialization Board (KMSB) – Orthodontics</w:t>
      </w:r>
    </w:p>
    <w:p>
      <w:pPr>
        <w:pStyle w:val="BodyText"/>
      </w:pPr>
      <w:r>
        <w:rPr>
          <w:bCs/>
          <w:b/>
        </w:rPr>
        <w:t xml:space="preserve">Clinic Hours:</w:t>
      </w:r>
      <w:r>
        <w:t xml:space="preserve"> </w:t>
      </w:r>
      <w:r>
        <w:t xml:space="preserve">Sunday to Thursday, 9:00 AM – 9:00 PM | Friday, 4:00 PM – 9:00 PM</w:t>
      </w:r>
    </w:p>
    <w:bookmarkEnd w:id="23"/>
    <w:p>
      <w:pPr>
        <w:pStyle w:val="BodyText"/>
      </w:pPr>
      <w:r>
        <w:t xml:space="preserve">Scope of Orthodontic Treatment – Quotation Estimate Breakdown</w:t>
      </w:r>
    </w:p>
    <w:p>
      <w:pPr>
        <w:pStyle w:val="BodyText"/>
      </w:pPr>
      <w:r>
        <w:t xml:space="preserve">This</w:t>
      </w:r>
      <w:r>
        <w:t xml:space="preserve"> </w:t>
      </w:r>
      <w:r>
        <w:t xml:space="preserve">Quotation Estimate</w:t>
      </w:r>
      <w:r>
        <w:t xml:space="preserve"> </w:t>
      </w:r>
      <w:r>
        <w:t xml:space="preserve">has been prepared by our</w:t>
      </w:r>
      <w:r>
        <w:t xml:space="preserve"> </w:t>
      </w:r>
      <w:r>
        <w:t xml:space="preserve">Orthodontist</w:t>
      </w:r>
      <w:r>
        <w:t xml:space="preserve"> </w:t>
      </w:r>
      <w:r>
        <w:t xml:space="preserve">team at Al-Nahda Orthodontic Center, located in the heart of</w:t>
      </w:r>
      <w:r>
        <w:t xml:space="preserve"> </w:t>
      </w:r>
      <w:r>
        <w:t xml:space="preserve">Kuwait, Kuwait City</w:t>
      </w:r>
      <w:r>
        <w:t xml:space="preserve">, following a comprehensive clinical examination, digital panoramic radiograph (OPG), intraoral 3D scanning, and cephalometric analysis performed on 10 June 2025. The treatment plan below addresses Class II malocclusion with upper arch crowding and a 4 mm overjet. All pricing is quoted in Kuwaiti Dinars (KWD) and includes applicable VAT where mandated by Kuwaiti tax regulations.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Orthodontic Procedure / Service</w:t>
            </w:r>
          </w:p>
        </w:tc>
        <w:tc>
          <w:tcPr/>
          <w:p>
            <w:pPr>
              <w:pStyle w:val="Compact"/>
              <w:jc w:val="left"/>
            </w:pPr>
            <w:r>
              <w:t xml:space="preserve">Frequency / Duration</w:t>
            </w:r>
          </w:p>
        </w:tc>
        <w:tc>
          <w:tcPr/>
          <w:p>
            <w:pPr>
              <w:pStyle w:val="Compact"/>
              <w:jc w:val="left"/>
            </w:pPr>
            <w:r>
              <w:t xml:space="preserve">Unit Price (KWD)</w:t>
            </w:r>
          </w:p>
        </w:tc>
        <w:tc>
          <w:tcPr/>
          <w:p>
            <w:pPr>
              <w:pStyle w:val="Compact"/>
              <w:jc w:val="left"/>
            </w:pPr>
            <w:r>
              <w:t xml:space="preserve">Total (KWD)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Consultation &amp; Diagnostic Records (OPG, CBCT, 3D Intraoral Scan, Photos, Study Models)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Included in plan</w:t>
            </w:r>
          </w:p>
        </w:tc>
      </w:tr>
      <w:tr>
        <w:tc>
          <w:tcPr/>
          <w:p>
            <w:pPr>
              <w:pStyle w:val="Compact"/>
              <w:jc w:val="left"/>
            </w:pPr>
            <w:r>
              <w:t xml:space="preserve">2</w:t>
            </w:r>
          </w:p>
        </w:tc>
        <w:tc>
          <w:tcPr/>
          <w:p>
            <w:pPr>
              <w:pStyle w:val="Compact"/>
              <w:jc w:val="left"/>
            </w:pPr>
            <w:r>
              <w:t xml:space="preserve">Pre-Orthodontic Periodontal Scaling &amp; Polishing (Full Arch)</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Required before appliance placement</w:t>
            </w:r>
          </w:p>
        </w:tc>
      </w:tr>
      <w:tr>
        <w:tc>
          <w:tcPr/>
          <w:p>
            <w:pPr>
              <w:pStyle w:val="Compact"/>
              <w:jc w:val="left"/>
            </w:pPr>
            <w:r>
              <w:t xml:space="preserve">3</w:t>
            </w:r>
          </w:p>
        </w:tc>
        <w:tc>
          <w:tcPr/>
          <w:p>
            <w:pPr>
              <w:pStyle w:val="Compact"/>
              <w:jc w:val="left"/>
            </w:pPr>
            <w:r>
              <w:t xml:space="preserve">Extraction of 4 Premolars (Upper 2, Lower 2) – Surgical</w:t>
            </w:r>
          </w:p>
        </w:tc>
        <w:tc>
          <w:tcPr/>
          <w:p>
            <w:pPr>
              <w:pStyle w:val="Compact"/>
              <w:jc w:val="left"/>
            </w:pPr>
            <w:r>
              <w:t xml:space="preserve">One-time</w:t>
            </w:r>
          </w:p>
        </w:tc>
        <w:tc>
          <w:tcPr/>
          <w:p>
            <w:pPr>
              <w:pStyle w:val="Compact"/>
              <w:jc w:val="left"/>
            </w:pPr>
            <w:r>
              <w:t xml:space="preserve">55.000 each</w:t>
            </w:r>
          </w:p>
        </w:tc>
        <w:tc>
          <w:tcPr/>
          <w:p>
            <w:pPr>
              <w:pStyle w:val="Compact"/>
              <w:jc w:val="left"/>
            </w:pPr>
            <w:r>
              <w:t xml:space="preserve">220.000</w:t>
            </w:r>
          </w:p>
        </w:tc>
        <w:tc>
          <w:tcPr/>
          <w:p>
            <w:pPr>
              <w:pStyle w:val="Compact"/>
              <w:jc w:val="left"/>
            </w:pPr>
            <w:r>
              <w:t xml:space="preserve">Performed by oral surgeon</w:t>
            </w:r>
          </w:p>
        </w:tc>
      </w:tr>
      <w:tr>
        <w:tc>
          <w:tcPr/>
          <w:p>
            <w:pPr>
              <w:pStyle w:val="Compact"/>
              <w:jc w:val="left"/>
            </w:pPr>
            <w:r>
              <w:t xml:space="preserve">4</w:t>
            </w:r>
          </w:p>
        </w:tc>
        <w:tc>
          <w:tcPr/>
          <w:p>
            <w:pPr>
              <w:pStyle w:val="Compact"/>
              <w:jc w:val="left"/>
            </w:pPr>
            <w:r>
              <w:t xml:space="preserve">Fixed Orthodontic Braces – Ceramic (Upper &amp; Lower Arch)</w:t>
            </w:r>
          </w:p>
        </w:tc>
        <w:tc>
          <w:tcPr/>
          <w:p>
            <w:pPr>
              <w:pStyle w:val="Compact"/>
              <w:jc w:val="left"/>
            </w:pPr>
            <w:r>
              <w:t xml:space="preserve">18–24 months</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Incl. brackets, wires, bands, elastics</w:t>
            </w:r>
          </w:p>
        </w:tc>
      </w:tr>
      <w:tr>
        <w:tc>
          <w:tcPr/>
          <w:p>
            <w:pPr>
              <w:pStyle w:val="Compact"/>
              <w:jc w:val="left"/>
            </w:pPr>
            <w:r>
              <w:t xml:space="preserve">5</w:t>
            </w:r>
          </w:p>
        </w:tc>
        <w:tc>
          <w:tcPr/>
          <w:p>
            <w:pPr>
              <w:pStyle w:val="Compact"/>
              <w:jc w:val="left"/>
            </w:pPr>
            <w:r>
              <w:t xml:space="preserve">Monthly Orthodontic Adjustment &amp; Wire Changes</w:t>
            </w:r>
          </w:p>
        </w:tc>
        <w:tc>
          <w:tcPr/>
          <w:p>
            <w:pPr>
              <w:pStyle w:val="Compact"/>
              <w:jc w:val="left"/>
            </w:pPr>
            <w:r>
              <w:t xml:space="preserve">20 visits</w:t>
            </w:r>
          </w:p>
        </w:tc>
        <w:tc>
          <w:tcPr/>
          <w:p>
            <w:pPr>
              <w:pStyle w:val="Compact"/>
              <w:jc w:val="left"/>
            </w:pPr>
            <w:r>
              <w:t xml:space="preserve">25.000 each</w:t>
            </w:r>
          </w:p>
        </w:tc>
        <w:tc>
          <w:tcPr/>
          <w:p>
            <w:pPr>
              <w:pStyle w:val="Compact"/>
              <w:jc w:val="left"/>
            </w:pPr>
            <w:r>
              <w:t xml:space="preserve">500.000</w:t>
            </w:r>
          </w:p>
        </w:tc>
        <w:tc>
          <w:tcPr/>
          <w:p>
            <w:pPr>
              <w:pStyle w:val="Compact"/>
              <w:jc w:val="left"/>
            </w:pPr>
            <w:r>
              <w:t xml:space="preserve">Every 4–6 weeks</w:t>
            </w:r>
          </w:p>
        </w:tc>
      </w:tr>
      <w:tr>
        <w:tc>
          <w:tcPr/>
          <w:p>
            <w:pPr>
              <w:pStyle w:val="Compact"/>
              <w:jc w:val="left"/>
            </w:pPr>
            <w:r>
              <w:t xml:space="preserve">6</w:t>
            </w:r>
          </w:p>
        </w:tc>
        <w:tc>
          <w:tcPr/>
          <w:p>
            <w:pPr>
              <w:pStyle w:val="Compact"/>
              <w:jc w:val="left"/>
            </w:pPr>
            <w:r>
              <w:t xml:space="preserve">Interproximal Reduction (IPR) – Selective Enamel Reduction</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Up to 0.5 mm per contact</w:t>
            </w:r>
          </w:p>
        </w:tc>
      </w:tr>
      <w:tr>
        <w:tc>
          <w:tcPr/>
          <w:p>
            <w:pPr>
              <w:pStyle w:val="Compact"/>
              <w:jc w:val="left"/>
            </w:pPr>
            <w:r>
              <w:t xml:space="preserve">7</w:t>
            </w:r>
          </w:p>
        </w:tc>
        <w:tc>
          <w:tcPr/>
          <w:p>
            <w:pPr>
              <w:pStyle w:val="Compact"/>
              <w:jc w:val="left"/>
            </w:pPr>
            <w:r>
              <w:t xml:space="preserve">Post-Orthodontic Retention – Fixed Lingual Retainers (Upper &amp; Lower)</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Composite-bonded wire</w:t>
            </w:r>
          </w:p>
        </w:tc>
      </w:tr>
      <w:tr>
        <w:tc>
          <w:tcPr/>
          <w:p>
            <w:pPr>
              <w:pStyle w:val="Compact"/>
              <w:jc w:val="left"/>
            </w:pPr>
            <w:r>
              <w:t xml:space="preserve">8</w:t>
            </w:r>
          </w:p>
        </w:tc>
        <w:tc>
          <w:tcPr/>
          <w:p>
            <w:pPr>
              <w:pStyle w:val="Compact"/>
              <w:jc w:val="left"/>
            </w:pPr>
            <w:r>
              <w:t xml:space="preserve">Removable Essix Retainers (2 sets – Upper &amp; Lower)</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Worn at night</w:t>
            </w:r>
          </w:p>
        </w:tc>
      </w:tr>
      <w:tr>
        <w:tc>
          <w:tcPr/>
          <w:p>
            <w:pPr>
              <w:pStyle w:val="Compact"/>
              <w:jc w:val="left"/>
            </w:pPr>
            <w:r>
              <w:t xml:space="preserve">9</w:t>
            </w:r>
          </w:p>
        </w:tc>
        <w:tc>
          <w:tcPr/>
          <w:p>
            <w:pPr>
              <w:pStyle w:val="Compact"/>
              <w:jc w:val="left"/>
            </w:pPr>
            <w:r>
              <w:t xml:space="preserve">Post-Treatment Follow-Up Visits (6 months, 12 months, 24 months)</w:t>
            </w:r>
          </w:p>
        </w:tc>
        <w:tc>
          <w:tcPr/>
          <w:p>
            <w:pPr>
              <w:pStyle w:val="Compact"/>
              <w:jc w:val="left"/>
            </w:pPr>
            <w:r>
              <w:t xml:space="preserve">3 visits</w:t>
            </w:r>
          </w:p>
        </w:tc>
        <w:tc>
          <w:tcPr/>
          <w:p>
            <w:pPr>
              <w:pStyle w:val="Compact"/>
              <w:jc w:val="left"/>
            </w:pPr>
            <w:r>
              <w:t xml:space="preserve">20.000 each</w:t>
            </w:r>
          </w:p>
        </w:tc>
        <w:tc>
          <w:tcPr/>
          <w:p>
            <w:pPr>
              <w:pStyle w:val="Compact"/>
              <w:jc w:val="left"/>
            </w:pPr>
            <w:r>
              <w:t xml:space="preserve">60.000</w:t>
            </w:r>
          </w:p>
        </w:tc>
        <w:tc>
          <w:tcPr/>
          <w:p>
            <w:pPr>
              <w:pStyle w:val="Compact"/>
              <w:jc w:val="left"/>
            </w:pPr>
            <w:r>
              <w:t xml:space="preserve">Retention monitoring</w:t>
            </w:r>
          </w:p>
        </w:tc>
      </w:tr>
      <w:tr>
        <w:tc>
          <w:tcPr/>
          <w:p>
            <w:pPr>
              <w:pStyle w:val="Compact"/>
              <w:jc w:val="left"/>
            </w:pPr>
            <w:r>
              <w:t xml:space="preserve">10</w:t>
            </w:r>
          </w:p>
        </w:tc>
        <w:tc>
          <w:tcPr/>
          <w:p>
            <w:pPr>
              <w:pStyle w:val="Compact"/>
              <w:jc w:val="left"/>
            </w:pPr>
            <w:r>
              <w:t xml:space="preserve">Emergency / De-bonding Visit (if bracket or wire breaks)</w:t>
            </w:r>
          </w:p>
        </w:tc>
        <w:tc>
          <w:tcPr/>
          <w:p>
            <w:pPr>
              <w:pStyle w:val="Compact"/>
              <w:jc w:val="left"/>
            </w:pPr>
            <w:r>
              <w:t xml:space="preserve">Up to 2 visits</w:t>
            </w:r>
          </w:p>
        </w:tc>
        <w:tc>
          <w:tcPr/>
          <w:p>
            <w:pPr>
              <w:pStyle w:val="Compact"/>
              <w:jc w:val="left"/>
            </w:pPr>
            <w:r>
              <w:t xml:space="preserve">15.000 each</w:t>
            </w:r>
          </w:p>
        </w:tc>
        <w:tc>
          <w:tcPr/>
          <w:p>
            <w:pPr>
              <w:pStyle w:val="Compact"/>
              <w:jc w:val="left"/>
            </w:pPr>
            <w:r>
              <w:t xml:space="preserve">30.000</w:t>
            </w:r>
          </w:p>
        </w:tc>
        <w:tc>
          <w:tcPr/>
          <w:p>
            <w:pPr>
              <w:pStyle w:val="Compact"/>
              <w:jc w:val="left"/>
            </w:pPr>
            <w:r>
              <w:t xml:space="preserve">Contingency allowance</w:t>
            </w:r>
          </w:p>
        </w:tc>
      </w:tr>
      <w:tr>
        <w:tc>
          <w:tcPr>
            <w:gridSpan w:val="4"/>
          </w:tcPr>
          <w:p>
            <w:pPr>
              <w:pStyle w:val="Compact"/>
              <w:jc w:val="right"/>
            </w:pPr>
            <w:r>
              <w:t xml:space="preserve">Subtotal (KWD)</w:t>
            </w:r>
          </w:p>
        </w:tc>
        <w:tc>
          <w:tcPr/>
          <w:p>
            <w:pPr>
              <w:pStyle w:val="Compact"/>
              <w:jc w:val="left"/>
            </w:pPr>
            <w:r>
              <w:t xml:space="preserve">2,355.000</w:t>
            </w:r>
          </w:p>
        </w:tc>
        <w:tc>
          <w:tcPr/>
          <w:p>
            <w:pPr>
              <w:pStyle w:val="Compact"/>
            </w:pPr>
          </w:p>
        </w:tc>
      </w:tr>
      <w:tr>
        <w:tc>
          <w:tcPr>
            <w:gridSpan w:val="4"/>
          </w:tcPr>
          <w:p>
            <w:pPr>
              <w:pStyle w:val="Compact"/>
              <w:jc w:val="right"/>
            </w:pPr>
            <w:r>
              <w:t xml:space="preserve">Insurance Coverage (Bupa Kuwait – 70%)</w:t>
            </w:r>
          </w:p>
        </w:tc>
        <w:tc>
          <w:tcPr/>
          <w:p>
            <w:pPr>
              <w:pStyle w:val="Compact"/>
              <w:jc w:val="left"/>
            </w:pPr>
            <w:r>
              <w:t xml:space="preserve">(1,648.500)</w:t>
            </w:r>
          </w:p>
        </w:tc>
        <w:tc>
          <w:tcPr/>
          <w:p>
            <w:pPr>
              <w:pStyle w:val="Compact"/>
            </w:pPr>
          </w:p>
        </w:tc>
      </w:tr>
      <w:tr>
        <w:tc>
          <w:tcPr>
            <w:gridSpan w:val="4"/>
          </w:tcPr>
          <w:p>
            <w:pPr>
              <w:pStyle w:val="Compact"/>
              <w:jc w:val="right"/>
            </w:pPr>
            <w:r>
              <w:t xml:space="preserve">Patient Responsibility – Net Amount Due (KWD)</w:t>
            </w:r>
          </w:p>
        </w:tc>
        <w:tc>
          <w:tcPr/>
          <w:p>
            <w:pPr>
              <w:pStyle w:val="Compact"/>
              <w:jc w:val="left"/>
            </w:pPr>
            <w:r>
              <w:t xml:space="preserve">706.500</w:t>
            </w:r>
          </w:p>
        </w:tc>
        <w:tc>
          <w:tcPr/>
          <w:p>
            <w:pPr>
              <w:pStyle w:val="Compact"/>
            </w:pPr>
          </w:p>
        </w:tc>
      </w:tr>
    </w:tbl>
    <w:p>
      <w:pPr>
        <w:pStyle w:val="BodyText"/>
      </w:pPr>
      <w:r>
        <w:t xml:space="preserve">Payment Terms &amp;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Orthodontist</w:t>
      </w:r>
      <w:r>
        <w:t xml:space="preserve"> </w:t>
      </w:r>
      <w:r>
        <w:t xml:space="preserve">reserves the right to revise pricing based on material cost fluctuations or updated clinical findings.</w:t>
      </w:r>
    </w:p>
    <w:p>
      <w:pPr>
        <w:numPr>
          <w:ilvl w:val="0"/>
          <w:numId w:val="1001"/>
        </w:numPr>
        <w:pStyle w:val="Compact"/>
      </w:pPr>
      <w:r>
        <w:t xml:space="preserve">A non-refundable deposit of 25% (KWD 176.625) of the patient-responsibility amount is required to confirm the treatment plan and secure the appointment schedule at our</w:t>
      </w:r>
      <w:r>
        <w:t xml:space="preserve"> </w:t>
      </w:r>
      <w:r>
        <w:t xml:space="preserve">Kuwait, Kuwait City</w:t>
      </w:r>
      <w:r>
        <w:t xml:space="preserve"> </w:t>
      </w:r>
      <w:r>
        <w:t xml:space="preserve">clinic.</w:t>
      </w:r>
    </w:p>
    <w:p>
      <w:pPr>
        <w:numPr>
          <w:ilvl w:val="0"/>
          <w:numId w:val="1001"/>
        </w:numPr>
        <w:pStyle w:val="Compact"/>
      </w:pPr>
      <w:r>
        <w:t xml:space="preserve">The remaining balance shall be payable in equal monthly installments over the duration of active orthodontic treatment, or in full upon completion of treatment, at the patient's preference.</w:t>
      </w:r>
    </w:p>
    <w:p>
      <w:pPr>
        <w:numPr>
          <w:ilvl w:val="0"/>
          <w:numId w:val="1001"/>
        </w:numPr>
        <w:pStyle w:val="Compact"/>
      </w:pPr>
      <w:r>
        <w:t xml:space="preserve">All payments are to be made via bank transfer, credit/debit card, or cash at the Al-Nahda Orthodontic Center reception in Kuwait City, Kuwait. Official receipts will be issued in accordance with Kuwaiti commercial law.</w:t>
      </w:r>
    </w:p>
    <w:p>
      <w:pPr>
        <w:numPr>
          <w:ilvl w:val="0"/>
          <w:numId w:val="1001"/>
        </w:numPr>
        <w:pStyle w:val="Compact"/>
      </w:pPr>
      <w:r>
        <w:t xml:space="preserve">Insurance pre-authorization must be obtained by the patient prior to the commencement of treatment. The clinic will assist in submitting claims to Bupa Kuwait but is not responsible for insurance policy limitations or exclusions.</w:t>
      </w:r>
    </w:p>
    <w:p>
      <w:pPr>
        <w:numPr>
          <w:ilvl w:val="0"/>
          <w:numId w:val="1001"/>
        </w:numPr>
        <w:pStyle w:val="Compact"/>
      </w:pPr>
      <w:r>
        <w:t xml:space="preserve">Any additional procedures not listed in this Quotation Estimate (e.g., unexpected root canal therapy, additional extractions, or extended treatment beyond 24 months) will be quoted separately in writing before execution.</w:t>
      </w:r>
    </w:p>
    <w:p>
      <w:pPr>
        <w:numPr>
          <w:ilvl w:val="0"/>
          <w:numId w:val="1001"/>
        </w:numPr>
        <w:pStyle w:val="Compact"/>
      </w:pPr>
      <w:r>
        <w:t xml:space="preserve">The patient acknowledges that orthodontic treatment outcomes, while predictable, may vary. The attending Orthodontist will communicate any mid-treatment plan modifications in a follow-up consultation.</w:t>
      </w:r>
    </w:p>
    <w:p>
      <w:pPr>
        <w:numPr>
          <w:ilvl w:val="0"/>
          <w:numId w:val="1001"/>
        </w:numPr>
        <w:pStyle w:val="Compact"/>
      </w:pPr>
      <w:r>
        <w:t xml:space="preserve">This Quotation Estimate does not constitute a binding contract until both parties have signed and the deposit has been received. It serves as a good-faith estimate of costs for the described orthodontic care in Kuwait, Kuwait City.</w:t>
      </w:r>
    </w:p>
    <w:p>
      <w:pPr>
        <w:pStyle w:val="FirstParagraph"/>
      </w:pPr>
      <w:r>
        <w:t xml:space="preserve">Acceptance &amp; Authorization</w:t>
      </w:r>
    </w:p>
    <w:p>
      <w:pPr>
        <w:pStyle w:val="BodyText"/>
      </w:pPr>
      <w:r>
        <w:t xml:space="preserve">By signing below, the patient confirms that they have received, read, and understood this Quotation Estimate for orthodontic treatment. The patient agrees to the scope of work, estimated costs, and payment terms outlined above. The attending Orthodontist confirms that the treatment plan is clinically appropriate and that all diagnostic records have been reviewed.</w:t>
      </w:r>
    </w:p>
    <w:p>
      <w:pPr>
        <w:pStyle w:val="BodyText"/>
      </w:pPr>
      <w:r>
        <w:rPr>
          <w:bCs/>
          <w:b/>
        </w:rPr>
        <w:t xml:space="preserve">Patient Signature</w:t>
      </w:r>
      <w:r>
        <w:br/>
      </w:r>
      <w:r>
        <w:t xml:space="preserve">Name: Mr. Ahmed Al-Rashidi</w:t>
      </w:r>
      <w:r>
        <w:br/>
      </w:r>
      <w:r>
        <w:t xml:space="preserve">Date: _______________</w:t>
      </w:r>
    </w:p>
    <w:p>
      <w:pPr>
        <w:pStyle w:val="BodyText"/>
      </w:pPr>
      <w:r>
        <w:rPr>
          <w:bCs/>
          <w:b/>
        </w:rPr>
        <w:t xml:space="preserve">Orthodontist / Authorized Representative</w:t>
      </w:r>
      <w:r>
        <w:br/>
      </w:r>
      <w:r>
        <w:t xml:space="preserve">Name: Dr. Khalid Al-Mutawa</w:t>
      </w:r>
      <w:r>
        <w:br/>
      </w:r>
      <w:r>
        <w:t xml:space="preserve">Al-Nahda Orthodontic Center, Kuwait City</w:t>
      </w:r>
      <w:r>
        <w:br/>
      </w:r>
      <w:r>
        <w:t xml:space="preserve">Date: _______________</w:t>
      </w:r>
    </w:p>
    <w:p>
      <w:pPr>
        <w:pStyle w:val="BodyText"/>
      </w:pPr>
      <w:r>
        <w:t xml:space="preserve">Al-Nahda Orthodontic Center | Al-Salimiyah, Kuwait City, Kuwait | +965 2244 5566 | info@alnahdaortho-kw.com</w:t>
      </w:r>
    </w:p>
    <w:p>
      <w:pPr>
        <w:pStyle w:val="BodyText"/>
      </w:pPr>
      <w:r>
        <w:t xml:space="preserve">This Quotation Estimate document is generated electronically and is valid without a physical stamp. For any queries regarding this Orthodontist Quotation Estimate, please contact our patient services desk in Kuwait, Kuwait City during clinic hours.</w:t>
      </w:r>
    </w:p>
    <w:p>
      <w:pPr>
        <w:pStyle w:val="BodyText"/>
      </w:pPr>
      <w:r>
        <w:t xml:space="preserve">© 2025 Al-Nahda Orthodontic Center. All rights reserved. Document Ref: QE-2025-07834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Kuwait Kuwait City</dc:title>
  <dc:creator/>
  <dc:language>en</dc:language>
  <cp:keywords/>
  <dcterms:created xsi:type="dcterms:W3CDTF">2026-10-10T08:06:15Z</dcterms:created>
  <dcterms:modified xsi:type="dcterms:W3CDTF">2026-10-10T08:06:15Z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