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1" w:name="quotation-estimate"/>
    <w:p>
      <w:pPr>
        <w:pStyle w:val="Heading1"/>
      </w:pPr>
      <w:r>
        <w:t xml:space="preserve">QUOTATION ESTIMATE</w:t>
      </w:r>
    </w:p>
    <w:bookmarkStart w:id="20" w:name="X54b675f7055a68330340f5fa2e6fef72563069f"/>
    <w:p>
      <w:pPr>
        <w:pStyle w:val="Heading2"/>
      </w:pPr>
      <w:r>
        <w:t xml:space="preserve">Orthodontist Professional Services — Malaysia Kuala Lumpur</w:t>
      </w:r>
    </w:p>
    <w:p>
      <w:pPr>
        <w:pStyle w:val="FirstParagraph"/>
      </w:pPr>
      <w:r>
        <w:t xml:space="preserve">Ref: QTE-KL-2025-04871</w:t>
      </w:r>
    </w:p>
    <w:bookmarkEnd w:id="20"/>
    <w:bookmarkEnd w:id="21"/>
    <w:bookmarkStart w:id="22" w:name="provider-details"/>
    <w:p>
      <w:pPr>
        <w:pStyle w:val="Heading3"/>
      </w:pPr>
      <w:r>
        <w:t xml:space="preserve">Provider Details</w:t>
      </w:r>
    </w:p>
    <w:p>
      <w:pPr>
        <w:pStyle w:val="FirstParagraph"/>
      </w:pPr>
      <w:r>
        <w:rPr>
          <w:bCs/>
          <w:b/>
        </w:rPr>
        <w:t xml:space="preserve">Dr. Aisha Rahman, DDS, MSc (Ortho)</w:t>
      </w:r>
    </w:p>
    <w:p>
      <w:pPr>
        <w:pStyle w:val="BodyText"/>
      </w:pPr>
      <w:r>
        <w:t xml:space="preserve">KL Smile Orthodontic Centre</w:t>
      </w:r>
    </w:p>
    <w:p>
      <w:pPr>
        <w:pStyle w:val="BodyText"/>
      </w:pPr>
      <w:r>
        <w:t xml:space="preserve">Suite 1204, Level 12, Menara KL</w:t>
      </w:r>
    </w:p>
    <w:p>
      <w:pPr>
        <w:pStyle w:val="BodyText"/>
      </w:pPr>
      <w:r>
        <w:t xml:space="preserve">Jalan Sultan Ismail, 50250 Kuala Lumpur</w:t>
      </w:r>
    </w:p>
    <w:p>
      <w:pPr>
        <w:pStyle w:val="BodyText"/>
      </w:pPr>
      <w:r>
        <w:t xml:space="preserve">Malaysia</w:t>
      </w:r>
    </w:p>
    <w:p>
      <w:pPr>
        <w:pStyle w:val="BodyText"/>
      </w:pPr>
      <w:r>
        <w:t xml:space="preserve">Tel: +60 3-2181 4567</w:t>
      </w:r>
    </w:p>
    <w:p>
      <w:pPr>
        <w:pStyle w:val="BodyText"/>
      </w:pPr>
      <w:r>
        <w:t xml:space="preserve">Email: enquiries@klsmileortho.my</w:t>
      </w:r>
    </w:p>
    <w:p>
      <w:pPr>
        <w:pStyle w:val="BodyText"/>
      </w:pPr>
      <w:r>
        <w:t xml:space="preserve">Reg. No: MD-2019-08834</w:t>
      </w:r>
    </w:p>
    <w:bookmarkEnd w:id="22"/>
    <w:bookmarkStart w:id="23" w:name="client-details"/>
    <w:p>
      <w:pPr>
        <w:pStyle w:val="Heading3"/>
      </w:pPr>
      <w:r>
        <w:t xml:space="preserve">Client Details</w:t>
      </w:r>
    </w:p>
    <w:p>
      <w:pPr>
        <w:pStyle w:val="FirstParagraph"/>
      </w:pPr>
      <w:r>
        <w:rPr>
          <w:bCs/>
          <w:b/>
        </w:rPr>
        <w:t xml:space="preserve">Mr. Tan Wei Ming</w:t>
      </w:r>
    </w:p>
    <w:p>
      <w:pPr>
        <w:pStyle w:val="BodyText"/>
      </w:pPr>
      <w:r>
        <w:t xml:space="preserve">Flat 18-07, The Troika Residence</w:t>
      </w:r>
    </w:p>
    <w:p>
      <w:pPr>
        <w:pStyle w:val="BodyText"/>
      </w:pPr>
      <w:r>
        <w:t xml:space="preserve">316, Jalan Ampang, 50450 Kuala Lumpur</w:t>
      </w:r>
    </w:p>
    <w:p>
      <w:pPr>
        <w:pStyle w:val="BodyText"/>
      </w:pPr>
      <w:r>
        <w:t xml:space="preserve">Malaysia</w:t>
      </w:r>
    </w:p>
    <w:p>
      <w:pPr>
        <w:pStyle w:val="BodyText"/>
      </w:pPr>
      <w:r>
        <w:t xml:space="preserve">Tel: +60 12-345 6789</w:t>
      </w:r>
    </w:p>
    <w:p>
      <w:pPr>
        <w:pStyle w:val="BodyText"/>
      </w:pPr>
      <w:r>
        <w:t xml:space="preserve">Email: tan.wei.ming@email.com</w:t>
      </w:r>
    </w:p>
    <w:p>
      <w:pPr>
        <w:pStyle w:val="BodyText"/>
      </w:pPr>
      <w:r>
        <w:t xml:space="preserve">IC No: 850612-10-4521</w:t>
      </w:r>
    </w:p>
    <w:bookmarkEnd w:id="23"/>
    <w:bookmarkStart w:id="24" w:name="quotation-estimate-details"/>
    <w:p>
      <w:pPr>
        <w:pStyle w:val="Heading3"/>
      </w:pPr>
      <w:r>
        <w:t xml:space="preserve">Quotation Estimate Details</w:t>
      </w:r>
    </w:p>
    <w:p>
      <w:pPr>
        <w:pStyle w:val="FirstParagraph"/>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Currency:</w:t>
      </w:r>
      <w:r>
        <w:t xml:space="preserve"> </w:t>
      </w:r>
      <w:r>
        <w:t xml:space="preserve">Malaysian Ringgit (MYR / RM)</w:t>
      </w:r>
    </w:p>
    <w:p>
      <w:pPr>
        <w:pStyle w:val="BodyText"/>
      </w:pPr>
      <w:r>
        <w:rPr>
          <w:bCs/>
          <w:b/>
        </w:rPr>
        <w:t xml:space="preserve">Service Location:</w:t>
      </w:r>
      <w:r>
        <w:t xml:space="preserve"> </w:t>
      </w:r>
      <w:r>
        <w:t xml:space="preserve">Kuala Lumpur, Malaysia</w:t>
      </w:r>
    </w:p>
    <w:bookmarkEnd w:id="24"/>
    <w:bookmarkStart w:id="25" w:name="diagnosis-summary"/>
    <w:p>
      <w:pPr>
        <w:pStyle w:val="Heading3"/>
      </w:pPr>
      <w:r>
        <w:t xml:space="preserve">Diagnosis Summary</w:t>
      </w:r>
    </w:p>
    <w:p>
      <w:pPr>
        <w:pStyle w:val="FirstParagraph"/>
      </w:pPr>
      <w:r>
        <w:rPr>
          <w:bCs/>
          <w:b/>
        </w:rPr>
        <w:t xml:space="preserve">Condition:</w:t>
      </w:r>
      <w:r>
        <w:t xml:space="preserve"> </w:t>
      </w:r>
      <w:r>
        <w:t xml:space="preserve">Class II Malocclusion with Crowding</w:t>
      </w:r>
    </w:p>
    <w:p>
      <w:pPr>
        <w:pStyle w:val="BodyText"/>
      </w:pPr>
      <w:r>
        <w:rPr>
          <w:bCs/>
          <w:b/>
        </w:rPr>
        <w:t xml:space="preserve">Recommended Treatment:</w:t>
      </w:r>
      <w:r>
        <w:t xml:space="preserve"> </w:t>
      </w:r>
      <w:r>
        <w:t xml:space="preserve">Fixed Orthodontic Braces (Metal)</w:t>
      </w:r>
    </w:p>
    <w:p>
      <w:pPr>
        <w:pStyle w:val="BodyText"/>
      </w:pPr>
      <w:r>
        <w:rPr>
          <w:bCs/>
          <w:b/>
        </w:rPr>
        <w:t xml:space="preserve">Estimated Duration:</w:t>
      </w:r>
      <w:r>
        <w:t xml:space="preserve"> </w:t>
      </w:r>
      <w:r>
        <w:t xml:space="preserve">24–30 months</w:t>
      </w:r>
    </w:p>
    <w:p>
      <w:pPr>
        <w:pStyle w:val="BodyText"/>
      </w:pPr>
      <w:r>
        <w:rPr>
          <w:bCs/>
          <w:b/>
        </w:rPr>
        <w:t xml:space="preserve">Consultation Date:</w:t>
      </w:r>
      <w:r>
        <w:t xml:space="preserve"> </w:t>
      </w:r>
      <w:r>
        <w:t xml:space="preserve">10 June 2025</w:t>
      </w:r>
    </w:p>
    <w:bookmarkEnd w:id="25"/>
    <w:bookmarkStart w:id="26" w:name="itemised-quotation-estimate-breakdown"/>
    <w:p>
      <w:pPr>
        <w:pStyle w:val="Heading2"/>
      </w:pPr>
      <w:r>
        <w:t xml:space="preserve">Itemised Quotation Estimate Breakdown</w:t>
      </w:r>
    </w:p>
    <w:p>
      <w:pPr>
        <w:pStyle w:val="FirstParagraph"/>
      </w:pPr>
      <w:r>
        <w:t xml:space="preserve">This Quotation Estimate has been prepared by our experienced Orthodontist team at KL Smile Orthodontic Centre, located in the heart of Malaysia Kuala Lumpur. The following costs reflect the comprehensive orthodontic treatment plan recommended after a thorough clinical examination, digital X-ray imaging, and intraoral scanning conducted on 10 June 2025. All prices are quoted in Malaysian Ringgit (RM) and are inclusive of all standard clinical materials used during each appointment.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Orthodontist Service</w:t>
            </w:r>
          </w:p>
        </w:tc>
        <w:tc>
          <w:tcPr/>
          <w:p>
            <w:pPr>
              <w:pStyle w:val="Compact"/>
              <w:jc w:val="left"/>
            </w:pPr>
            <w:r>
              <w:t xml:space="preserve">Frequency</w:t>
            </w:r>
          </w:p>
        </w:tc>
        <w:tc>
          <w:tcPr/>
          <w:p>
            <w:pPr>
              <w:pStyle w:val="Compact"/>
              <w:jc w:val="left"/>
            </w:pPr>
            <w:r>
              <w:t xml:space="preserve">Unit Cost (RM)</w:t>
            </w:r>
          </w:p>
        </w:tc>
        <w:tc>
          <w:tcPr/>
          <w:p>
            <w:pPr>
              <w:pStyle w:val="Compact"/>
              <w:jc w:val="left"/>
            </w:pPr>
            <w:r>
              <w:t xml:space="preserve">Total (RM)</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Consultation &amp; Comprehensive Orthodontic Assessment (including panoramic X-ray, cephalometric analysis, and digital intraoral scan)</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Waived upon treatment acceptance</w:t>
            </w:r>
          </w:p>
        </w:tc>
      </w:tr>
      <w:tr>
        <w:tc>
          <w:tcPr/>
          <w:p>
            <w:pPr>
              <w:pStyle w:val="Compact"/>
              <w:jc w:val="left"/>
            </w:pPr>
            <w:r>
              <w:t xml:space="preserve">2</w:t>
            </w:r>
          </w:p>
        </w:tc>
        <w:tc>
          <w:tcPr/>
          <w:p>
            <w:pPr>
              <w:pStyle w:val="Compact"/>
              <w:jc w:val="left"/>
            </w:pPr>
            <w:r>
              <w:t xml:space="preserve">Orthodontic Treatment Plan Formulation &amp; Digital Simulation (3D treatment preview)</w:t>
            </w:r>
          </w:p>
        </w:tc>
        <w:tc>
          <w:tcPr/>
          <w:p>
            <w:pPr>
              <w:pStyle w:val="Compact"/>
              <w:jc w:val="left"/>
            </w:pPr>
            <w:r>
              <w:t xml:space="preserve">One-time</w:t>
            </w:r>
          </w:p>
        </w:tc>
        <w:tc>
          <w:tcPr/>
          <w:p>
            <w:pPr>
              <w:pStyle w:val="Compact"/>
              <w:jc w:val="left"/>
            </w:pPr>
            <w:r>
              <w:t xml:space="preserve">200.00</w:t>
            </w:r>
          </w:p>
        </w:tc>
        <w:tc>
          <w:tcPr/>
          <w:p>
            <w:pPr>
              <w:pStyle w:val="Compact"/>
              <w:jc w:val="left"/>
            </w:pPr>
            <w:r>
              <w:t xml:space="preserve">200.00</w:t>
            </w:r>
          </w:p>
        </w:tc>
        <w:tc>
          <w:tcPr/>
          <w:p>
            <w:pPr>
              <w:pStyle w:val="Compact"/>
              <w:jc w:val="left"/>
            </w:pPr>
            <w:r>
              <w:t xml:space="preserve">Included in package</w:t>
            </w:r>
          </w:p>
        </w:tc>
      </w:tr>
      <w:tr>
        <w:tc>
          <w:tcPr/>
          <w:p>
            <w:pPr>
              <w:pStyle w:val="Compact"/>
              <w:jc w:val="left"/>
            </w:pPr>
            <w:r>
              <w:t xml:space="preserve">3</w:t>
            </w:r>
          </w:p>
        </w:tc>
        <w:tc>
          <w:tcPr/>
          <w:p>
            <w:pPr>
              <w:pStyle w:val="Compact"/>
              <w:jc w:val="left"/>
            </w:pPr>
            <w:r>
              <w:t xml:space="preserve">Fixed Metal Braces — Bonding &amp; Initial Archwire Placement (upper and lower arches)</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Includes all brackets, bands, and wires</w:t>
            </w:r>
          </w:p>
        </w:tc>
      </w:tr>
      <w:tr>
        <w:tc>
          <w:tcPr/>
          <w:p>
            <w:pPr>
              <w:pStyle w:val="Compact"/>
              <w:jc w:val="left"/>
            </w:pPr>
            <w:r>
              <w:t xml:space="preserve">4</w:t>
            </w:r>
          </w:p>
        </w:tc>
        <w:tc>
          <w:tcPr/>
          <w:p>
            <w:pPr>
              <w:pStyle w:val="Compact"/>
              <w:jc w:val="left"/>
            </w:pPr>
            <w:r>
              <w:t xml:space="preserve">Monthly Orthodontist Adjustment &amp; Wire Change Appointments</w:t>
            </w:r>
          </w:p>
        </w:tc>
        <w:tc>
          <w:tcPr/>
          <w:p>
            <w:pPr>
              <w:pStyle w:val="Compact"/>
              <w:jc w:val="left"/>
            </w:pPr>
            <w:r>
              <w:t xml:space="preserve">28 months</w:t>
            </w:r>
          </w:p>
        </w:tc>
        <w:tc>
          <w:tcPr/>
          <w:p>
            <w:pPr>
              <w:pStyle w:val="Compact"/>
              <w:jc w:val="left"/>
            </w:pPr>
            <w:r>
              <w:t xml:space="preserve">250.00</w:t>
            </w:r>
          </w:p>
        </w:tc>
        <w:tc>
          <w:tcPr/>
          <w:p>
            <w:pPr>
              <w:pStyle w:val="Compact"/>
              <w:jc w:val="left"/>
            </w:pPr>
            <w:r>
              <w:t xml:space="preserve">7,000.00</w:t>
            </w:r>
          </w:p>
        </w:tc>
        <w:tc>
          <w:tcPr/>
          <w:p>
            <w:pPr>
              <w:pStyle w:val="Compact"/>
              <w:jc w:val="left"/>
            </w:pPr>
            <w:r>
              <w:t xml:space="preserve">Every 4–6 weeks as scheduled</w:t>
            </w:r>
          </w:p>
        </w:tc>
      </w:tr>
      <w:tr>
        <w:tc>
          <w:tcPr/>
          <w:p>
            <w:pPr>
              <w:pStyle w:val="Compact"/>
              <w:jc w:val="left"/>
            </w:pPr>
            <w:r>
              <w:t xml:space="preserve">5</w:t>
            </w:r>
          </w:p>
        </w:tc>
        <w:tc>
          <w:tcPr/>
          <w:p>
            <w:pPr>
              <w:pStyle w:val="Compact"/>
              <w:jc w:val="left"/>
            </w:pPr>
            <w:r>
              <w:t xml:space="preserve">Intermediate Orthodontic Appliances (elastics, rubber bands, power chain replacements)</w:t>
            </w:r>
          </w:p>
        </w:tc>
        <w:tc>
          <w:tcPr/>
          <w:p>
            <w:pPr>
              <w:pStyle w:val="Compact"/>
              <w:jc w:val="left"/>
            </w:pPr>
            <w:r>
              <w:t xml:space="preserve">28 months</w:t>
            </w:r>
          </w:p>
        </w:tc>
        <w:tc>
          <w:tcPr/>
          <w:p>
            <w:pPr>
              <w:pStyle w:val="Compact"/>
              <w:jc w:val="left"/>
            </w:pPr>
            <w:r>
              <w:t xml:space="preserve">80.00</w:t>
            </w:r>
          </w:p>
        </w:tc>
        <w:tc>
          <w:tcPr/>
          <w:p>
            <w:pPr>
              <w:pStyle w:val="Compact"/>
              <w:jc w:val="left"/>
            </w:pPr>
            <w:r>
              <w:t xml:space="preserve">2,240.00</w:t>
            </w:r>
          </w:p>
        </w:tc>
        <w:tc>
          <w:tcPr/>
          <w:p>
            <w:pPr>
              <w:pStyle w:val="Compact"/>
              <w:jc w:val="left"/>
            </w:pPr>
            <w:r>
              <w:t xml:space="preserve">Consumables per visit</w:t>
            </w:r>
          </w:p>
        </w:tc>
      </w:tr>
      <w:tr>
        <w:tc>
          <w:tcPr/>
          <w:p>
            <w:pPr>
              <w:pStyle w:val="Compact"/>
              <w:jc w:val="left"/>
            </w:pPr>
            <w:r>
              <w:t xml:space="preserve">6</w:t>
            </w:r>
          </w:p>
        </w:tc>
        <w:tc>
          <w:tcPr/>
          <w:p>
            <w:pPr>
              <w:pStyle w:val="Compact"/>
              <w:jc w:val="left"/>
            </w:pPr>
            <w:r>
              <w:t xml:space="preserve">Debonding &amp; Finishing (removal of all brackets, polishing, and final occlusal adjustment)</w:t>
            </w:r>
          </w:p>
        </w:tc>
        <w:tc>
          <w:tcPr/>
          <w:p>
            <w:pPr>
              <w:pStyle w:val="Compact"/>
              <w:jc w:val="left"/>
            </w:pPr>
            <w:r>
              <w:t xml:space="preserve">One-time</w:t>
            </w:r>
          </w:p>
        </w:tc>
        <w:tc>
          <w:tcPr/>
          <w:p>
            <w:pPr>
              <w:pStyle w:val="Compact"/>
              <w:jc w:val="left"/>
            </w:pPr>
            <w:r>
              <w:t xml:space="preserve">800.00</w:t>
            </w:r>
          </w:p>
        </w:tc>
        <w:tc>
          <w:tcPr/>
          <w:p>
            <w:pPr>
              <w:pStyle w:val="Compact"/>
              <w:jc w:val="left"/>
            </w:pPr>
            <w:r>
              <w:t xml:space="preserve">800.00</w:t>
            </w:r>
          </w:p>
        </w:tc>
        <w:tc>
          <w:tcPr/>
          <w:p>
            <w:pPr>
              <w:pStyle w:val="Compact"/>
              <w:jc w:val="left"/>
            </w:pPr>
            <w:r>
              <w:t xml:space="preserve">Includes final X-ray verification</w:t>
            </w:r>
          </w:p>
        </w:tc>
      </w:tr>
      <w:tr>
        <w:tc>
          <w:tcPr/>
          <w:p>
            <w:pPr>
              <w:pStyle w:val="Compact"/>
              <w:jc w:val="left"/>
            </w:pPr>
            <w:r>
              <w:t xml:space="preserve">7</w:t>
            </w:r>
          </w:p>
        </w:tc>
        <w:tc>
          <w:tcPr/>
          <w:p>
            <w:pPr>
              <w:pStyle w:val="Compact"/>
              <w:jc w:val="left"/>
            </w:pPr>
            <w:r>
              <w:t xml:space="preserve">Retainer Fabrication &amp; Fitting (Hawley retainer — upper and lower)</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Two sets included</w:t>
            </w:r>
          </w:p>
        </w:tc>
      </w:tr>
      <w:tr>
        <w:tc>
          <w:tcPr/>
          <w:p>
            <w:pPr>
              <w:pStyle w:val="Compact"/>
              <w:jc w:val="left"/>
            </w:pPr>
            <w:r>
              <w:t xml:space="preserve">8</w:t>
            </w:r>
          </w:p>
        </w:tc>
        <w:tc>
          <w:tcPr/>
          <w:p>
            <w:pPr>
              <w:pStyle w:val="Compact"/>
              <w:jc w:val="left"/>
            </w:pPr>
            <w:r>
              <w:t xml:space="preserve">Post-Treatment Orthodontist Follow-Up Reviews (retainer check-ups)</w:t>
            </w:r>
          </w:p>
        </w:tc>
        <w:tc>
          <w:tcPr/>
          <w:p>
            <w:pPr>
              <w:pStyle w:val="Compact"/>
              <w:jc w:val="left"/>
            </w:pPr>
            <w:r>
              <w:t xml:space="preserve">6 visits (Year 1)</w:t>
            </w:r>
          </w:p>
        </w:tc>
        <w:tc>
          <w:tcPr/>
          <w:p>
            <w:pPr>
              <w:pStyle w:val="Compact"/>
              <w:jc w:val="left"/>
            </w:pPr>
            <w:r>
              <w:t xml:space="preserve">100.00</w:t>
            </w:r>
          </w:p>
        </w:tc>
        <w:tc>
          <w:tcPr/>
          <w:p>
            <w:pPr>
              <w:pStyle w:val="Compact"/>
              <w:jc w:val="left"/>
            </w:pPr>
            <w:r>
              <w:t xml:space="preserve">600.00</w:t>
            </w:r>
          </w:p>
        </w:tc>
        <w:tc>
          <w:tcPr/>
          <w:p>
            <w:pPr>
              <w:pStyle w:val="Compact"/>
              <w:jc w:val="left"/>
            </w:pPr>
            <w:r>
              <w:t xml:space="preserve">Every 2 months in first year</w:t>
            </w:r>
          </w:p>
        </w:tc>
      </w:tr>
      <w:tr>
        <w:tc>
          <w:tcPr/>
          <w:p>
            <w:pPr>
              <w:pStyle w:val="Compact"/>
              <w:jc w:val="left"/>
            </w:pPr>
            <w:r>
              <w:t xml:space="preserve">9</w:t>
            </w:r>
          </w:p>
        </w:tc>
        <w:tc>
          <w:tcPr/>
          <w:p>
            <w:pPr>
              <w:pStyle w:val="Compact"/>
              <w:jc w:val="left"/>
            </w:pPr>
            <w:r>
              <w:t xml:space="preserve">Emergency Orthodontist Visit (broken bracket, wire irritation — up to 2 visits)</w:t>
            </w:r>
          </w:p>
        </w:tc>
        <w:tc>
          <w:tcPr/>
          <w:p>
            <w:pPr>
              <w:pStyle w:val="Compact"/>
              <w:jc w:val="left"/>
            </w:pPr>
            <w:r>
              <w:t xml:space="preserve">As needed</w:t>
            </w:r>
          </w:p>
        </w:tc>
        <w:tc>
          <w:tcPr/>
          <w:p>
            <w:pPr>
              <w:pStyle w:val="Compact"/>
              <w:jc w:val="left"/>
            </w:pPr>
            <w:r>
              <w:t xml:space="preserve">150.00</w:t>
            </w:r>
          </w:p>
        </w:tc>
        <w:tc>
          <w:tcPr/>
          <w:p>
            <w:pPr>
              <w:pStyle w:val="Compact"/>
              <w:jc w:val="left"/>
            </w:pPr>
            <w:r>
              <w:t xml:space="preserve">300.00</w:t>
            </w:r>
          </w:p>
        </w:tc>
        <w:tc>
          <w:tcPr/>
          <w:p>
            <w:pPr>
              <w:pStyle w:val="Compact"/>
              <w:jc w:val="left"/>
            </w:pPr>
            <w:r>
              <w:t xml:space="preserve">Provisional allowance</w:t>
            </w:r>
          </w:p>
        </w:tc>
      </w:tr>
      <w:tr>
        <w:tc>
          <w:tcPr/>
          <w:p>
            <w:pPr>
              <w:pStyle w:val="Compact"/>
              <w:jc w:val="left"/>
            </w:pPr>
            <w:r>
              <w:t xml:space="preserve">10</w:t>
            </w:r>
          </w:p>
        </w:tc>
        <w:tc>
          <w:tcPr/>
          <w:p>
            <w:pPr>
              <w:pStyle w:val="Compact"/>
              <w:jc w:val="left"/>
            </w:pPr>
            <w:r>
              <w:t xml:space="preserve">Professional Dental Hygiene &amp; Scaling (pre-treatment and mid-treatment)</w:t>
            </w:r>
          </w:p>
        </w:tc>
        <w:tc>
          <w:tcPr/>
          <w:p>
            <w:pPr>
              <w:pStyle w:val="Compact"/>
              <w:jc w:val="left"/>
            </w:pPr>
            <w:r>
              <w:t xml:space="preserve">2 sessions</w:t>
            </w:r>
          </w:p>
        </w:tc>
        <w:tc>
          <w:tcPr/>
          <w:p>
            <w:pPr>
              <w:pStyle w:val="Compact"/>
              <w:jc w:val="left"/>
            </w:pPr>
            <w:r>
              <w:t xml:space="preserve">280.00</w:t>
            </w:r>
          </w:p>
        </w:tc>
        <w:tc>
          <w:tcPr/>
          <w:p>
            <w:pPr>
              <w:pStyle w:val="Compact"/>
              <w:jc w:val="left"/>
            </w:pPr>
            <w:r>
              <w:t xml:space="preserve">560.00</w:t>
            </w:r>
          </w:p>
        </w:tc>
        <w:tc>
          <w:tcPr/>
          <w:p>
            <w:pPr>
              <w:pStyle w:val="Compact"/>
              <w:jc w:val="left"/>
            </w:pPr>
            <w:r>
              <w:t xml:space="preserve">Recommended by Orthodontist</w:t>
            </w:r>
          </w:p>
        </w:tc>
      </w:tr>
      <w:tr>
        <w:tc>
          <w:tcPr>
            <w:gridSpan w:val="4"/>
          </w:tcPr>
          <w:p>
            <w:pPr>
              <w:pStyle w:val="Compact"/>
              <w:jc w:val="left"/>
            </w:pPr>
            <w:r>
              <w:rPr>
                <w:bCs/>
                <w:b/>
              </w:rPr>
              <w:t xml:space="preserve">GRAND TOTAL — Quotation Estimate</w:t>
            </w:r>
          </w:p>
        </w:tc>
        <w:tc>
          <w:tcPr/>
          <w:p>
            <w:pPr>
              <w:pStyle w:val="Compact"/>
              <w:jc w:val="left"/>
            </w:pPr>
            <w:r>
              <w:rPr>
                <w:bCs/>
                <w:b/>
              </w:rPr>
              <w:t xml:space="preserve">RM 17,750.00</w:t>
            </w:r>
          </w:p>
        </w:tc>
        <w:tc>
          <w:tcPr/>
          <w:p>
            <w:pPr>
              <w:pStyle w:val="Compact"/>
              <w:jc w:val="left"/>
            </w:pPr>
            <w:r>
              <w:rPr>
                <w:bCs/>
                <w:b/>
              </w:rPr>
              <w:t xml:space="preserve">MYR</w:t>
            </w:r>
          </w:p>
        </w:tc>
      </w:tr>
    </w:tbl>
    <w:p>
      <w:pPr>
        <w:pStyle w:val="BodyText"/>
      </w:pPr>
      <w:r>
        <w:rPr>
          <w:bCs/>
          <w:b/>
        </w:rPr>
        <w:t xml:space="preserve">Payment Plan Option:</w:t>
      </w:r>
      <w:r>
        <w:t xml:space="preserve"> </w:t>
      </w:r>
      <w:r>
        <w:t xml:space="preserve">This Quotation Estimate can be settled in full or via a 0% interest instalment plan over 12 months (RM 1,479.17/month) through our in-house financing partner in Malaysia Kuala Lumpur. A 10% deposit (RM 1,775.00) is required to secure your appointment slot with our Orthodontist.</w:t>
      </w:r>
    </w:p>
    <w:bookmarkEnd w:id="26"/>
    <w:bookmarkStart w:id="28" w:name="X06f751c0fef37426aad28df54ec1acd620508e5"/>
    <w:p>
      <w:pPr>
        <w:pStyle w:val="Heading2"/>
      </w:pPr>
      <w:r>
        <w:t xml:space="preserve">Terms &amp; Conditions of This Quotation Estimate</w:t>
      </w:r>
    </w:p>
    <w:bookmarkStart w:id="27" w:name="important-conditions"/>
    <w:p>
      <w:pPr>
        <w:pStyle w:val="Heading3"/>
      </w:pPr>
      <w:r>
        <w:t xml:space="preserve">Important Conditions</w:t>
      </w:r>
    </w:p>
    <w:p>
      <w:pPr>
        <w:numPr>
          <w:ilvl w:val="0"/>
          <w:numId w:val="1001"/>
        </w:numPr>
        <w:pStyle w:val="Compact"/>
      </w:pPr>
      <w:r>
        <w:t xml:space="preserve">This Quotation Estimate is valid for thirty (30) days from the date of issue. After the expiry date, the Orthodontist team reserves the right to revise pricing based on updated material costs and clinical reassessment.</w:t>
      </w:r>
    </w:p>
    <w:p>
      <w:pPr>
        <w:numPr>
          <w:ilvl w:val="0"/>
          <w:numId w:val="1001"/>
        </w:numPr>
        <w:pStyle w:val="Compact"/>
      </w:pPr>
      <w:r>
        <w:t xml:space="preserve">All services described in this Quotation Estimate will be performed by a registered Orthodontist or supervised orthodontic assistant at our clinic in Malaysia Kuala Lumpur, in full compliance with the Malaysian Dental Council (MDC) regulations and the Malaysian Orthodontic Society (MOS) clinical guidelines.</w:t>
      </w:r>
    </w:p>
    <w:p>
      <w:pPr>
        <w:numPr>
          <w:ilvl w:val="0"/>
          <w:numId w:val="1001"/>
        </w:numPr>
        <w:pStyle w:val="Compact"/>
      </w:pPr>
      <w:r>
        <w:t xml:space="preserve">The estimated treatment duration of 24–30 months is a clinical projection. Actual duration may vary depending on patient compliance, biological response, and any unforeseen orthodontic complications identified during the course of treatment.</w:t>
      </w:r>
    </w:p>
    <w:p>
      <w:pPr>
        <w:numPr>
          <w:ilvl w:val="0"/>
          <w:numId w:val="1001"/>
        </w:numPr>
        <w:pStyle w:val="Compact"/>
      </w:pPr>
      <w:r>
        <w:t xml:space="preserve">Should the patient require additional orthodontic procedures not covered in this Quotation Estimate (e.g., orthognathic surgery referral, additional extractions, or extended retention), a supplementary Quotation Estimate will be issued and must be approved in writing by the patient before any additional work commences.</w:t>
      </w:r>
    </w:p>
    <w:p>
      <w:pPr>
        <w:numPr>
          <w:ilvl w:val="0"/>
          <w:numId w:val="1001"/>
        </w:numPr>
        <w:pStyle w:val="Compact"/>
      </w:pPr>
      <w:r>
        <w:t xml:space="preserve">Missed appointments must be rescheduled at least 48 hours in advance. Cancellations made less than 24 hours before a scheduled Orthodontist visit will incur a no-show fee of RM 100.00.</w:t>
      </w:r>
    </w:p>
    <w:p>
      <w:pPr>
        <w:numPr>
          <w:ilvl w:val="0"/>
          <w:numId w:val="1001"/>
        </w:numPr>
        <w:pStyle w:val="Compact"/>
      </w:pPr>
      <w:r>
        <w:t xml:space="preserve">This Quotation Estimate does not include hospitalisation, general anaesthesia, or specialist referrals outside the scope of orthodontic care. Any such additional costs will be communicated separately.</w:t>
      </w:r>
    </w:p>
    <w:p>
      <w:pPr>
        <w:numPr>
          <w:ilvl w:val="0"/>
          <w:numId w:val="1001"/>
        </w:numPr>
        <w:pStyle w:val="Compact"/>
      </w:pPr>
      <w:r>
        <w:t xml:space="preserve">All personal health data and treatment records are handled in accordance with the Personal Data Protection Act 2010 (PDPA) of Malaysia. Patient confidentiality is maintained at all times within our Malaysia Kuala Lumpur facility.</w:t>
      </w:r>
    </w:p>
    <w:p>
      <w:pPr>
        <w:numPr>
          <w:ilvl w:val="0"/>
          <w:numId w:val="1001"/>
        </w:numPr>
        <w:pStyle w:val="Compact"/>
      </w:pPr>
      <w:r>
        <w:t xml:space="preserve">Warranty: The Orthodontist provides a 12-month warranty on all bonded appliances against manufacturing defects. Normal wear, patient-induced damage, or failure to attend scheduled reviews will void the warranty.</w:t>
      </w:r>
    </w:p>
    <w:p>
      <w:pPr>
        <w:numPr>
          <w:ilvl w:val="0"/>
          <w:numId w:val="1001"/>
        </w:numPr>
        <w:pStyle w:val="Compact"/>
      </w:pPr>
      <w:r>
        <w:t xml:space="preserve">Disputes arising from this Quotation Estimate shall be governed by the laws of Malaysia and subject to the exclusive jurisdiction of the courts in Kuala Lumpur, Malaysia.</w:t>
      </w:r>
    </w:p>
    <w:bookmarkEnd w:id="27"/>
    <w:bookmarkEnd w:id="28"/>
    <w:bookmarkStart w:id="29" w:name="acceptance-authorisation"/>
    <w:p>
      <w:pPr>
        <w:pStyle w:val="Heading2"/>
      </w:pPr>
      <w:r>
        <w:t xml:space="preserve">Acceptance &amp; Authorisation</w:t>
      </w:r>
    </w:p>
    <w:p>
      <w:pPr>
        <w:pStyle w:val="FirstParagraph"/>
      </w:pPr>
      <w:r>
        <w:t xml:space="preserve">By signing below, the patient acknowledges that this Quotation Estimate has been reviewed, all terms and conditions have been understood, and the recommended Orthodontist treatment plan is accepted. The patient agrees to the payment schedule and clinical protocols outlined in this document.</w:t>
      </w:r>
    </w:p>
    <w:p>
      <w:pPr>
        <w:pStyle w:val="BodyText"/>
      </w:pPr>
      <w:r>
        <w:t xml:space="preserve">Patient / Guardian Signature</w:t>
      </w:r>
      <w:r>
        <w:br/>
      </w:r>
      <w:r>
        <w:rPr>
          <w:bCs/>
          <w:b/>
        </w:rPr>
        <w:t xml:space="preserve">Name:</w:t>
      </w:r>
      <w:r>
        <w:t xml:space="preserve"> </w:t>
      </w:r>
      <w:r>
        <w:t xml:space="preserve">Tan Wei Ming</w:t>
      </w:r>
      <w:r>
        <w:br/>
      </w:r>
      <w:r>
        <w:rPr>
          <w:bCs/>
          <w:b/>
        </w:rPr>
        <w:t xml:space="preserve">Date:</w:t>
      </w:r>
      <w:r>
        <w:t xml:space="preserve"> </w:t>
      </w:r>
      <w:r>
        <w:t xml:space="preserve">_______________</w:t>
      </w:r>
    </w:p>
    <w:p>
      <w:pPr>
        <w:pStyle w:val="BodyText"/>
      </w:pPr>
      <w:r>
        <w:t xml:space="preserve">Orthodontist / Authorised Representative</w:t>
      </w:r>
      <w:r>
        <w:br/>
      </w:r>
      <w:r>
        <w:rPr>
          <w:bCs/>
          <w:b/>
        </w:rPr>
        <w:t xml:space="preserve">Name:</w:t>
      </w:r>
      <w:r>
        <w:t xml:space="preserve"> </w:t>
      </w:r>
      <w:r>
        <w:t xml:space="preserve">Dr. Aisha Rahman, DDS</w:t>
      </w:r>
      <w:r>
        <w:br/>
      </w:r>
      <w:r>
        <w:rPr>
          <w:bCs/>
          <w:b/>
        </w:rPr>
        <w:t xml:space="preserve">Date:</w:t>
      </w:r>
      <w:r>
        <w:t xml:space="preserve"> </w:t>
      </w:r>
      <w:r>
        <w:t xml:space="preserve">_______________</w:t>
      </w:r>
    </w:p>
    <w:p>
      <w:pPr>
        <w:pStyle w:val="BodyText"/>
      </w:pPr>
      <w:r>
        <w:t xml:space="preserve">KL Smile Orthodontic Centre • Suite 1204, Level 12, Menara KL, Jalan Sultan Ismail, 50250 Kuala Lumpur, Malaysia</w:t>
      </w:r>
    </w:p>
    <w:p>
      <w:pPr>
        <w:pStyle w:val="BodyText"/>
      </w:pPr>
      <w:r>
        <w:t xml:space="preserve">Registered with the Malaysian Dental Council (MDC) • Member, Malaysian Orthodontic Society (MOS)</w:t>
      </w:r>
    </w:p>
    <w:p>
      <w:pPr>
        <w:pStyle w:val="BodyText"/>
      </w:pPr>
      <w:r>
        <w:t xml:space="preserve">This Quotation Estimate is a commercial document and does not constitute a medical guarantee. All treatment outcomes are subject to individual patient response.</w:t>
      </w:r>
    </w:p>
    <w:p>
      <w:pPr>
        <w:pStyle w:val="BodyText"/>
      </w:pPr>
      <w:r>
        <w:t xml:space="preserve">© 2025 KL Smile Orthodontic Centre. All rights reserved. | Document generated on 15 June 2025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Malaysia Kuala Lumpur</dc:title>
  <dc:creator/>
  <dc:language>en</dc:language>
  <cp:keywords/>
  <dcterms:created xsi:type="dcterms:W3CDTF">2026-10-10T05:53:27Z</dcterms:created>
  <dcterms:modified xsi:type="dcterms:W3CDTF">2026-10-10T05:53:27Z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