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rPr>
          <w:bCs/>
          <w:b/>
        </w:rPr>
        <w:t xml:space="preserve">Capital Smile Orthodontic Centre</w:t>
      </w:r>
    </w:p>
    <w:p>
      <w:pPr>
        <w:pStyle w:val="BodyText"/>
      </w:pPr>
      <w:r>
        <w:t xml:space="preserve">Plot 14, Aminu Kano Crescent, Wuse II, Abuja, FCT, Nigeria</w:t>
      </w:r>
    </w:p>
    <w:p>
      <w:pPr>
        <w:pStyle w:val="BodyText"/>
      </w:pPr>
      <w:r>
        <w:t xml:space="preserve">Phone: +234 803 555 0192 | Email: estimates@capitalsmileorthodontics.ng</w:t>
      </w:r>
    </w:p>
    <w:p>
      <w:pPr>
        <w:pStyle w:val="BodyText"/>
      </w:pPr>
      <w:r>
        <w:t xml:space="preserve">RCN No. 4521 | NMC Registered Orthodontist Practice</w:t>
      </w:r>
    </w:p>
    <w:bookmarkEnd w:id="20"/>
    <w:p>
      <w:pPr>
        <w:pStyle w:val="BodyText"/>
      </w:pPr>
      <w:r>
        <w:rPr>
          <w:bCs/>
          <w:b/>
        </w:rPr>
        <w:t xml:space="preserve">Quotation No.:</w:t>
      </w:r>
      <w:r>
        <w:t xml:space="preserve"> </w:t>
      </w:r>
      <w:r>
        <w:t xml:space="preserve">CSCO/2025/04782</w:t>
      </w:r>
      <w:r>
        <w:br/>
      </w:r>
      <w:r>
        <w:rPr>
          <w:bCs/>
          <w:b/>
        </w:rPr>
        <w:t xml:space="preserve">Date Issued:</w:t>
      </w:r>
      <w:r>
        <w:t xml:space="preserve"> </w:t>
      </w:r>
      <w:r>
        <w:t xml:space="preserve">12 June 2025</w:t>
      </w:r>
      <w:r>
        <w:br/>
      </w:r>
      <w:r>
        <w:rPr>
          <w:bCs/>
          <w:b/>
        </w:rPr>
        <w:t xml:space="preserve">Valid Until:</w:t>
      </w:r>
      <w:r>
        <w:t xml:space="preserve"> </w:t>
      </w:r>
      <w:r>
        <w:t xml:space="preserve">12 July 2025</w:t>
      </w:r>
    </w:p>
    <w:p>
      <w:pPr>
        <w:pStyle w:val="BodyText"/>
      </w:pPr>
      <w:r>
        <w:rPr>
          <w:bCs/>
          <w:b/>
        </w:rPr>
        <w:t xml:space="preserve">Prepared For:</w:t>
      </w:r>
      <w:r>
        <w:br/>
      </w:r>
      <w:r>
        <w:t xml:space="preserve">Ms. Adaeze Okafor</w:t>
      </w:r>
      <w:r>
        <w:br/>
      </w:r>
      <w:r>
        <w:t xml:space="preserve">22, Gana Street, Maitama</w:t>
      </w:r>
      <w:r>
        <w:br/>
      </w:r>
      <w:r>
        <w:t xml:space="preserve">Abuja, FCT, Nigeria</w:t>
      </w:r>
      <w:r>
        <w:br/>
      </w:r>
      <w:r>
        <w:t xml:space="preserve">Phone: +234 812 345 6789</w:t>
      </w:r>
    </w:p>
    <w:bookmarkStart w:id="21" w:name="patient-treatment-overview"/>
    <w:p>
      <w:pPr>
        <w:pStyle w:val="Heading2"/>
      </w:pPr>
      <w:r>
        <w:t xml:space="preserve">Patient &amp; Treatment Overview</w:t>
      </w:r>
    </w:p>
    <w:p>
      <w:pPr>
        <w:pStyle w:val="FirstParagraph"/>
      </w:pPr>
      <w:r>
        <w:t xml:space="preserve">This Quotation Estimate has been prepared by Capital Smile Orthodontic Centre, a fully licensed and NMC-registered Orthodontist practice located in the heart of Nigeria Abuja, to provide Ms. Adaeze Okafor with a comprehensive financial breakdown for the proposed orthodontic treatment plan. Following a thorough clinical examination conducted on 5 June 2025 at our Wuse II clinic in Abuja, our lead Orthodontist, Dr. Emeka Nwankwo (MDS, Orthodontics, University of Ibadan), has recommended a twelve-month fixed appliance treatment programme to correct Class II malocclusion, moderate crowding in the anterior region, and a 3mm overjet. This Quotation Estimate reflects all professional fees, materials, and ancillary services required to deliver the full scope of treatment within Nigeria Abuja.</w:t>
      </w:r>
    </w:p>
    <w:bookmarkEnd w:id="21"/>
    <w:bookmarkStart w:id="22" w:name="itemised-quotation-estimate-breakdown"/>
    <w:p>
      <w:pPr>
        <w:pStyle w:val="Heading2"/>
      </w:pPr>
      <w:r>
        <w:t xml:space="preserve">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Orthodontist Service</w:t>
            </w:r>
          </w:p>
        </w:tc>
        <w:tc>
          <w:tcPr/>
          <w:p>
            <w:pPr>
              <w:pStyle w:val="Compact"/>
              <w:jc w:val="left"/>
            </w:pPr>
            <w:r>
              <w:t xml:space="preserve">Unit</w:t>
            </w:r>
          </w:p>
        </w:tc>
        <w:tc>
          <w:tcPr/>
          <w:p>
            <w:pPr>
              <w:pStyle w:val="Compact"/>
              <w:jc w:val="left"/>
            </w:pPr>
            <w:r>
              <w:t xml:space="preserve">Rate (NGN)</w:t>
            </w:r>
          </w:p>
        </w:tc>
        <w:tc>
          <w:tcPr/>
          <w:p>
            <w:pPr>
              <w:pStyle w:val="Compact"/>
              <w:jc w:val="left"/>
            </w:pPr>
            <w:r>
              <w:t xml:space="preserve">Amount (NGN)</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Initial Consultation, Clinical Examination &amp; Diagnostic Records (Intraoral photographs, panoramic radiograph, cephalometric tracing, study models)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Day 1</w:t>
            </w:r>
          </w:p>
        </w:tc>
      </w:tr>
      <w:tr>
        <w:tc>
          <w:tcPr/>
          <w:p>
            <w:pPr>
              <w:pStyle w:val="Compact"/>
              <w:jc w:val="left"/>
            </w:pPr>
            <w:r>
              <w:t xml:space="preserve">2</w:t>
            </w:r>
          </w:p>
        </w:tc>
        <w:tc>
          <w:tcPr/>
          <w:p>
            <w:pPr>
              <w:pStyle w:val="Compact"/>
              <w:jc w:val="left"/>
            </w:pPr>
            <w:r>
              <w:t xml:space="preserve">Comprehensive Treatment Planning &amp; Digital Smile Design by Lead Orthodontist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Week 1</w:t>
            </w:r>
          </w:p>
        </w:tc>
      </w:tr>
      <w:tr>
        <w:tc>
          <w:tcPr/>
          <w:p>
            <w:pPr>
              <w:pStyle w:val="Compact"/>
              <w:jc w:val="left"/>
            </w:pPr>
            <w:r>
              <w:t xml:space="preserve">3</w:t>
            </w:r>
          </w:p>
        </w:tc>
        <w:tc>
          <w:tcPr/>
          <w:p>
            <w:pPr>
              <w:pStyle w:val="Compact"/>
              <w:jc w:val="left"/>
            </w:pPr>
            <w:r>
              <w:t xml:space="preserve">Pre-Orthodontic Dental Hygiene, Scaling &amp; Polishing (Full Arch)</w:t>
            </w:r>
          </w:p>
        </w:tc>
        <w:tc>
          <w:tcPr/>
          <w:p>
            <w:pPr>
              <w:pStyle w:val="Compact"/>
              <w:jc w:val="left"/>
            </w:pPr>
            <w:r>
              <w:t xml:space="preserve">2</w:t>
            </w:r>
          </w:p>
        </w:tc>
        <w:tc>
          <w:tcPr/>
          <w:p>
            <w:pPr>
              <w:pStyle w:val="Compact"/>
              <w:jc w:val="left"/>
            </w:pPr>
            <w:r>
              <w:t xml:space="preserve">25,000</w:t>
            </w:r>
          </w:p>
        </w:tc>
        <w:tc>
          <w:tcPr/>
          <w:p>
            <w:pPr>
              <w:pStyle w:val="Compact"/>
              <w:jc w:val="left"/>
            </w:pPr>
            <w:r>
              <w:t xml:space="preserve">50,000</w:t>
            </w:r>
          </w:p>
        </w:tc>
        <w:tc>
          <w:tcPr/>
          <w:p>
            <w:pPr>
              <w:pStyle w:val="Compact"/>
              <w:jc w:val="left"/>
            </w:pPr>
            <w:r>
              <w:t xml:space="preserve">Week 1</w:t>
            </w:r>
          </w:p>
        </w:tc>
      </w:tr>
      <w:tr>
        <w:tc>
          <w:tcPr/>
          <w:p>
            <w:pPr>
              <w:pStyle w:val="Compact"/>
              <w:jc w:val="left"/>
            </w:pPr>
            <w:r>
              <w:t xml:space="preserve">4</w:t>
            </w:r>
          </w:p>
        </w:tc>
        <w:tc>
          <w:tcPr/>
          <w:p>
            <w:pPr>
              <w:pStyle w:val="Compact"/>
              <w:jc w:val="left"/>
            </w:pPr>
            <w:r>
              <w:t xml:space="preserve">Extraction of Premolars (Upper 4 &amp; Lower 4) under Local Anaesthesia</w:t>
            </w:r>
          </w:p>
        </w:tc>
        <w:tc>
          <w:tcPr/>
          <w:p>
            <w:pPr>
              <w:pStyle w:val="Compact"/>
              <w:jc w:val="left"/>
            </w:pPr>
            <w:r>
              <w:t xml:space="preserve">4</w:t>
            </w:r>
          </w:p>
        </w:tc>
        <w:tc>
          <w:tcPr/>
          <w:p>
            <w:pPr>
              <w:pStyle w:val="Compact"/>
              <w:jc w:val="left"/>
            </w:pPr>
            <w:r>
              <w:t xml:space="preserve">30,000</w:t>
            </w:r>
          </w:p>
        </w:tc>
        <w:tc>
          <w:tcPr/>
          <w:p>
            <w:pPr>
              <w:pStyle w:val="Compact"/>
              <w:jc w:val="left"/>
            </w:pPr>
            <w:r>
              <w:t xml:space="preserve">120,000</w:t>
            </w:r>
          </w:p>
        </w:tc>
        <w:tc>
          <w:tcPr/>
          <w:p>
            <w:pPr>
              <w:pStyle w:val="Compact"/>
              <w:jc w:val="left"/>
            </w:pPr>
            <w:r>
              <w:t xml:space="preserve">Week 2</w:t>
            </w:r>
          </w:p>
        </w:tc>
      </w:tr>
      <w:tr>
        <w:tc>
          <w:tcPr/>
          <w:p>
            <w:pPr>
              <w:pStyle w:val="Compact"/>
              <w:jc w:val="left"/>
            </w:pPr>
            <w:r>
              <w:t xml:space="preserve">5</w:t>
            </w:r>
          </w:p>
        </w:tc>
        <w:tc>
          <w:tcPr/>
          <w:p>
            <w:pPr>
              <w:pStyle w:val="Compact"/>
              <w:jc w:val="left"/>
            </w:pPr>
            <w:r>
              <w:t xml:space="preserve">Placement of Fixed Metal Brackets (DBA 002, 3M Unitek) – Full Arch (Upper &amp; Lower)</w:t>
            </w:r>
          </w:p>
        </w:tc>
        <w:tc>
          <w:tcPr/>
          <w:p>
            <w:pPr>
              <w:pStyle w:val="Compact"/>
              <w:jc w:val="left"/>
            </w:pPr>
            <w:r>
              <w:t xml:space="preserve">28</w:t>
            </w:r>
          </w:p>
        </w:tc>
        <w:tc>
          <w:tcPr/>
          <w:p>
            <w:pPr>
              <w:pStyle w:val="Compact"/>
              <w:jc w:val="left"/>
            </w:pPr>
            <w:r>
              <w:t xml:space="preserve">8,500</w:t>
            </w:r>
          </w:p>
        </w:tc>
        <w:tc>
          <w:tcPr/>
          <w:p>
            <w:pPr>
              <w:pStyle w:val="Compact"/>
              <w:jc w:val="left"/>
            </w:pPr>
            <w:r>
              <w:t xml:space="preserve">238,000</w:t>
            </w:r>
          </w:p>
        </w:tc>
        <w:tc>
          <w:tcPr/>
          <w:p>
            <w:pPr>
              <w:pStyle w:val="Compact"/>
              <w:jc w:val="left"/>
            </w:pPr>
            <w:r>
              <w:t xml:space="preserve">Week 3</w:t>
            </w:r>
          </w:p>
        </w:tc>
      </w:tr>
      <w:tr>
        <w:tc>
          <w:tcPr/>
          <w:p>
            <w:pPr>
              <w:pStyle w:val="Compact"/>
              <w:jc w:val="left"/>
            </w:pPr>
            <w:r>
              <w:t xml:space="preserve">6</w:t>
            </w:r>
          </w:p>
        </w:tc>
        <w:tc>
          <w:tcPr/>
          <w:p>
            <w:pPr>
              <w:pStyle w:val="Compact"/>
              <w:jc w:val="left"/>
            </w:pPr>
            <w:r>
              <w:t xml:space="preserve">Archwire Sequencing &amp; Ligature Changes (Monthly Adjustments)</w:t>
            </w:r>
          </w:p>
        </w:tc>
        <w:tc>
          <w:tcPr/>
          <w:p>
            <w:pPr>
              <w:pStyle w:val="Compact"/>
              <w:jc w:val="left"/>
            </w:pPr>
            <w:r>
              <w:t xml:space="preserve">12</w:t>
            </w:r>
          </w:p>
        </w:tc>
        <w:tc>
          <w:tcPr/>
          <w:p>
            <w:pPr>
              <w:pStyle w:val="Compact"/>
              <w:jc w:val="left"/>
            </w:pPr>
            <w:r>
              <w:t xml:space="preserve">18,000</w:t>
            </w:r>
          </w:p>
        </w:tc>
        <w:tc>
          <w:tcPr/>
          <w:p>
            <w:pPr>
              <w:pStyle w:val="Compact"/>
              <w:jc w:val="left"/>
            </w:pPr>
            <w:r>
              <w:t xml:space="preserve">216,000</w:t>
            </w:r>
          </w:p>
        </w:tc>
        <w:tc>
          <w:tcPr/>
          <w:p>
            <w:pPr>
              <w:pStyle w:val="Compact"/>
              <w:jc w:val="left"/>
            </w:pPr>
            <w:r>
              <w:t xml:space="preserve">Monthly</w:t>
            </w:r>
          </w:p>
        </w:tc>
      </w:tr>
      <w:tr>
        <w:tc>
          <w:tcPr/>
          <w:p>
            <w:pPr>
              <w:pStyle w:val="Compact"/>
              <w:jc w:val="left"/>
            </w:pPr>
            <w:r>
              <w:t xml:space="preserve">7</w:t>
            </w:r>
          </w:p>
        </w:tc>
        <w:tc>
          <w:tcPr/>
          <w:p>
            <w:pPr>
              <w:pStyle w:val="Compact"/>
              <w:jc w:val="left"/>
            </w:pPr>
            <w:r>
              <w:t xml:space="preserve">Interproximal Reduction (IPR) / Stripping as Clinically Indicated</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c>
          <w:tcPr/>
          <w:p>
            <w:pPr>
              <w:pStyle w:val="Compact"/>
              <w:jc w:val="left"/>
            </w:pPr>
            <w:r>
              <w:t xml:space="preserve">Month 3</w:t>
            </w:r>
          </w:p>
        </w:tc>
      </w:tr>
      <w:tr>
        <w:tc>
          <w:tcPr/>
          <w:p>
            <w:pPr>
              <w:pStyle w:val="Compact"/>
              <w:jc w:val="left"/>
            </w:pPr>
            <w:r>
              <w:t xml:space="preserve">8</w:t>
            </w:r>
          </w:p>
        </w:tc>
        <w:tc>
          <w:tcPr/>
          <w:p>
            <w:pPr>
              <w:pStyle w:val="Compact"/>
              <w:jc w:val="left"/>
            </w:pPr>
            <w:r>
              <w:t xml:space="preserve">Elastics &amp; Auxiliary Appliances (Supplied monthly by Orthodontist)</w:t>
            </w:r>
          </w:p>
        </w:tc>
        <w:tc>
          <w:tcPr/>
          <w:p>
            <w:pPr>
              <w:pStyle w:val="Compact"/>
              <w:jc w:val="left"/>
            </w:pPr>
            <w:r>
              <w:t xml:space="preserve">12</w:t>
            </w:r>
          </w:p>
        </w:tc>
        <w:tc>
          <w:tcPr/>
          <w:p>
            <w:pPr>
              <w:pStyle w:val="Compact"/>
              <w:jc w:val="left"/>
            </w:pPr>
            <w:r>
              <w:t xml:space="preserve">5,000</w:t>
            </w:r>
          </w:p>
        </w:tc>
        <w:tc>
          <w:tcPr/>
          <w:p>
            <w:pPr>
              <w:pStyle w:val="Compact"/>
              <w:jc w:val="left"/>
            </w:pPr>
            <w:r>
              <w:t xml:space="preserve">60,000</w:t>
            </w:r>
          </w:p>
        </w:tc>
        <w:tc>
          <w:tcPr/>
          <w:p>
            <w:pPr>
              <w:pStyle w:val="Compact"/>
              <w:jc w:val="left"/>
            </w:pPr>
            <w:r>
              <w:t xml:space="preserve">Monthly</w:t>
            </w:r>
          </w:p>
        </w:tc>
      </w:tr>
      <w:tr>
        <w:tc>
          <w:tcPr/>
          <w:p>
            <w:pPr>
              <w:pStyle w:val="Compact"/>
              <w:jc w:val="left"/>
            </w:pPr>
            <w:r>
              <w:t xml:space="preserve">9</w:t>
            </w:r>
          </w:p>
        </w:tc>
        <w:tc>
          <w:tcPr/>
          <w:p>
            <w:pPr>
              <w:pStyle w:val="Compact"/>
              <w:jc w:val="left"/>
            </w:pPr>
            <w:r>
              <w:t xml:space="preserve">Debonding, Finishing, &amp; Polishing of All Brackets</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c>
          <w:tcPr/>
          <w:p>
            <w:pPr>
              <w:pStyle w:val="Compact"/>
              <w:jc w:val="left"/>
            </w:pPr>
            <w:r>
              <w:t xml:space="preserve">Month 12</w:t>
            </w:r>
          </w:p>
        </w:tc>
      </w:tr>
      <w:tr>
        <w:tc>
          <w:tcPr/>
          <w:p>
            <w:pPr>
              <w:pStyle w:val="Compact"/>
              <w:jc w:val="left"/>
            </w:pPr>
            <w:r>
              <w:t xml:space="preserve">10</w:t>
            </w:r>
          </w:p>
        </w:tc>
        <w:tc>
          <w:tcPr/>
          <w:p>
            <w:pPr>
              <w:pStyle w:val="Compact"/>
              <w:jc w:val="left"/>
            </w:pPr>
            <w:r>
              <w:t xml:space="preserve">Post-Treatment Retainers (Hawley Upper &amp; Lower + Clear Lower Retainer)</w:t>
            </w:r>
          </w:p>
        </w:tc>
        <w:tc>
          <w:tcPr/>
          <w:p>
            <w:pPr>
              <w:pStyle w:val="Compact"/>
              <w:jc w:val="left"/>
            </w:pPr>
            <w:r>
              <w:t xml:space="preserve">3</w:t>
            </w:r>
          </w:p>
        </w:tc>
        <w:tc>
          <w:tcPr/>
          <w:p>
            <w:pPr>
              <w:pStyle w:val="Compact"/>
              <w:jc w:val="left"/>
            </w:pPr>
            <w:r>
              <w:t xml:space="preserve">35,000</w:t>
            </w:r>
          </w:p>
        </w:tc>
        <w:tc>
          <w:tcPr/>
          <w:p>
            <w:pPr>
              <w:pStyle w:val="Compact"/>
              <w:jc w:val="left"/>
            </w:pPr>
            <w:r>
              <w:t xml:space="preserve">105,000</w:t>
            </w:r>
          </w:p>
        </w:tc>
        <w:tc>
          <w:tcPr/>
          <w:p>
            <w:pPr>
              <w:pStyle w:val="Compact"/>
              <w:jc w:val="left"/>
            </w:pPr>
            <w:r>
              <w:t xml:space="preserve">Month 12</w:t>
            </w:r>
          </w:p>
        </w:tc>
      </w:tr>
      <w:tr>
        <w:tc>
          <w:tcPr/>
          <w:p>
            <w:pPr>
              <w:pStyle w:val="Compact"/>
              <w:jc w:val="left"/>
            </w:pPr>
            <w:r>
              <w:t xml:space="preserve">11</w:t>
            </w:r>
          </w:p>
        </w:tc>
        <w:tc>
          <w:tcPr/>
          <w:p>
            <w:pPr>
              <w:pStyle w:val="Compact"/>
              <w:jc w:val="left"/>
            </w:pPr>
            <w:r>
              <w:t xml:space="preserve">Post-Orthodontic Review &amp; Retainer Adjustments (6-monthly for 1 year)</w:t>
            </w:r>
          </w:p>
        </w:tc>
        <w:tc>
          <w:tcPr/>
          <w:p>
            <w:pPr>
              <w:pStyle w:val="Compact"/>
              <w:jc w:val="left"/>
            </w:pPr>
            <w:r>
              <w:t xml:space="preserve">2</w:t>
            </w:r>
          </w:p>
        </w:tc>
        <w:tc>
          <w:tcPr/>
          <w:p>
            <w:pPr>
              <w:pStyle w:val="Compact"/>
              <w:jc w:val="left"/>
            </w:pPr>
            <w:r>
              <w:t xml:space="preserve">15,000</w:t>
            </w:r>
          </w:p>
        </w:tc>
        <w:tc>
          <w:tcPr/>
          <w:p>
            <w:pPr>
              <w:pStyle w:val="Compact"/>
              <w:jc w:val="left"/>
            </w:pPr>
            <w:r>
              <w:t xml:space="preserve">30,000</w:t>
            </w:r>
          </w:p>
        </w:tc>
        <w:tc>
          <w:tcPr/>
          <w:p>
            <w:pPr>
              <w:pStyle w:val="Compact"/>
              <w:jc w:val="left"/>
            </w:pPr>
            <w:r>
              <w:t xml:space="preserve">Months 6 &amp; 12</w:t>
            </w:r>
          </w:p>
        </w:tc>
      </w:tr>
      <w:tr>
        <w:tc>
          <w:tcPr/>
          <w:p>
            <w:pPr>
              <w:pStyle w:val="Compact"/>
              <w:jc w:val="left"/>
            </w:pPr>
            <w:r>
              <w:t xml:space="preserve">12</w:t>
            </w:r>
          </w:p>
        </w:tc>
        <w:tc>
          <w:tcPr/>
          <w:p>
            <w:pPr>
              <w:pStyle w:val="Compact"/>
              <w:jc w:val="left"/>
            </w:pPr>
            <w:r>
              <w:t xml:space="preserve">Emergency/Unscheduled Appointment Allowance (Up to 3 visits)</w:t>
            </w:r>
          </w:p>
        </w:tc>
        <w:tc>
          <w:tcPr/>
          <w:p>
            <w:pPr>
              <w:pStyle w:val="Compact"/>
              <w:jc w:val="left"/>
            </w:pPr>
            <w:r>
              <w:t xml:space="preserve">3</w:t>
            </w:r>
          </w:p>
        </w:tc>
        <w:tc>
          <w:tcPr/>
          <w:p>
            <w:pPr>
              <w:pStyle w:val="Compact"/>
              <w:jc w:val="left"/>
            </w:pPr>
            <w:r>
              <w:t xml:space="preserve">10,000</w:t>
            </w:r>
          </w:p>
        </w:tc>
        <w:tc>
          <w:tcPr/>
          <w:p>
            <w:pPr>
              <w:pStyle w:val="Compact"/>
              <w:jc w:val="left"/>
            </w:pPr>
            <w:r>
              <w:t xml:space="preserve">30,000</w:t>
            </w:r>
          </w:p>
        </w:tc>
        <w:tc>
          <w:tcPr/>
          <w:p>
            <w:pPr>
              <w:pStyle w:val="Compact"/>
              <w:jc w:val="left"/>
            </w:pPr>
            <w:r>
              <w:t xml:space="preserve">As needed</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NGN 1,024,000</w:t>
            </w:r>
          </w:p>
        </w:tc>
      </w:tr>
      <w:tr>
        <w:tc>
          <w:tcPr/>
          <w:p>
            <w:pPr>
              <w:pStyle w:val="Compact"/>
              <w:jc w:val="left"/>
            </w:pPr>
            <w:r>
              <w:t xml:space="preserve">VAT (7.5% – Nigeria FCT)</w:t>
            </w:r>
          </w:p>
        </w:tc>
        <w:tc>
          <w:tcPr/>
          <w:p>
            <w:pPr>
              <w:pStyle w:val="Compact"/>
              <w:jc w:val="right"/>
            </w:pPr>
            <w:r>
              <w:t xml:space="preserve">NGN 76,800</w:t>
            </w:r>
          </w:p>
        </w:tc>
      </w:tr>
      <w:tr>
        <w:tc>
          <w:tcPr/>
          <w:p>
            <w:pPr>
              <w:pStyle w:val="Compact"/>
              <w:jc w:val="left"/>
            </w:pPr>
            <w:r>
              <w:t xml:space="preserve">Professional Fee (Orthodontist Supervision)</w:t>
            </w:r>
          </w:p>
        </w:tc>
        <w:tc>
          <w:tcPr/>
          <w:p>
            <w:pPr>
              <w:pStyle w:val="Compact"/>
              <w:jc w:val="right"/>
            </w:pPr>
            <w:r>
              <w:t xml:space="preserve">NGN 50,000</w:t>
            </w:r>
          </w:p>
        </w:tc>
      </w:tr>
      <w:tr>
        <w:tc>
          <w:tcPr/>
          <w:p>
            <w:pPr>
              <w:pStyle w:val="Compact"/>
              <w:jc w:val="left"/>
            </w:pPr>
            <w:r>
              <w:t xml:space="preserve">GRAND TOTAL</w:t>
            </w:r>
          </w:p>
        </w:tc>
        <w:tc>
          <w:tcPr/>
          <w:p>
            <w:pPr>
              <w:pStyle w:val="Compact"/>
              <w:jc w:val="right"/>
            </w:pPr>
            <w:r>
              <w:t xml:space="preserve">NGN 1,150,800</w:t>
            </w:r>
          </w:p>
        </w:tc>
      </w:tr>
    </w:tbl>
    <w:bookmarkEnd w:id="22"/>
    <w:bookmarkStart w:id="24" w:name="payment-schedule"/>
    <w:p>
      <w:pPr>
        <w:pStyle w:val="Heading2"/>
      </w:pPr>
      <w:r>
        <w:t xml:space="preserve">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right"/>
            </w:pPr>
            <w:r>
              <w:t xml:space="preserve">Amount (NGN)</w:t>
            </w:r>
          </w:p>
        </w:tc>
        <w:tc>
          <w:tcPr/>
          <w:p>
            <w:pPr>
              <w:pStyle w:val="Compact"/>
              <w:jc w:val="left"/>
            </w:pPr>
            <w:r>
              <w:t xml:space="preserve">Due Date</w:t>
            </w:r>
          </w:p>
        </w:tc>
      </w:tr>
      <w:tr>
        <w:tc>
          <w:tcPr/>
          <w:p>
            <w:pPr>
              <w:pStyle w:val="Compact"/>
              <w:jc w:val="left"/>
            </w:pPr>
            <w:r>
              <w:t xml:space="preserve">Deposit (upon acceptance of this Quotation Estimate)</w:t>
            </w:r>
          </w:p>
        </w:tc>
        <w:tc>
          <w:tcPr/>
          <w:p>
            <w:pPr>
              <w:pStyle w:val="Compact"/>
              <w:jc w:val="right"/>
            </w:pPr>
            <w:r>
              <w:t xml:space="preserve">NGN 300,000</w:t>
            </w:r>
          </w:p>
        </w:tc>
        <w:tc>
          <w:tcPr/>
          <w:p>
            <w:pPr>
              <w:pStyle w:val="Compact"/>
              <w:jc w:val="left"/>
            </w:pPr>
            <w:r>
              <w:t xml:space="preserve">Within 7 days of issue</w:t>
            </w:r>
          </w:p>
        </w:tc>
      </w:tr>
      <w:tr>
        <w:tc>
          <w:tcPr/>
          <w:p>
            <w:pPr>
              <w:pStyle w:val="Compact"/>
              <w:jc w:val="left"/>
            </w:pPr>
            <w:r>
              <w:t xml:space="preserve">Second Instalment (after bracket placement)</w:t>
            </w:r>
          </w:p>
        </w:tc>
        <w:tc>
          <w:tcPr/>
          <w:p>
            <w:pPr>
              <w:pStyle w:val="Compact"/>
              <w:jc w:val="right"/>
            </w:pPr>
            <w:r>
              <w:t xml:space="preserve">NGN 350,000</w:t>
            </w:r>
          </w:p>
        </w:tc>
        <w:tc>
          <w:tcPr/>
          <w:p>
            <w:pPr>
              <w:pStyle w:val="Compact"/>
              <w:jc w:val="left"/>
            </w:pPr>
            <w:r>
              <w:t xml:space="preserve">End of Month 3</w:t>
            </w:r>
          </w:p>
        </w:tc>
      </w:tr>
      <w:tr>
        <w:tc>
          <w:tcPr/>
          <w:p>
            <w:pPr>
              <w:pStyle w:val="Compact"/>
              <w:jc w:val="left"/>
            </w:pPr>
            <w:r>
              <w:t xml:space="preserve">Third Instalment (mid-treatment)</w:t>
            </w:r>
          </w:p>
        </w:tc>
        <w:tc>
          <w:tcPr/>
          <w:p>
            <w:pPr>
              <w:pStyle w:val="Compact"/>
              <w:jc w:val="right"/>
            </w:pPr>
            <w:r>
              <w:t xml:space="preserve">NGN 300,000</w:t>
            </w:r>
          </w:p>
        </w:tc>
        <w:tc>
          <w:tcPr/>
          <w:p>
            <w:pPr>
              <w:pStyle w:val="Compact"/>
              <w:jc w:val="left"/>
            </w:pPr>
            <w:r>
              <w:t xml:space="preserve">End of Month 7</w:t>
            </w:r>
          </w:p>
        </w:tc>
      </w:tr>
      <w:tr>
        <w:tc>
          <w:tcPr/>
          <w:p>
            <w:pPr>
              <w:pStyle w:val="Compact"/>
              <w:jc w:val="left"/>
            </w:pPr>
            <w:r>
              <w:t xml:space="preserve">Final Balance (upon debonding &amp; retainer delivery)</w:t>
            </w:r>
          </w:p>
        </w:tc>
        <w:tc>
          <w:tcPr/>
          <w:p>
            <w:pPr>
              <w:pStyle w:val="Compact"/>
              <w:jc w:val="right"/>
            </w:pPr>
            <w:r>
              <w:t xml:space="preserve">NGN 200,800</w:t>
            </w:r>
          </w:p>
        </w:tc>
        <w:tc>
          <w:tcPr/>
          <w:p>
            <w:pPr>
              <w:pStyle w:val="Compact"/>
              <w:jc w:val="left"/>
            </w:pPr>
            <w:r>
              <w:t xml:space="preserve">End of Month 12</w:t>
            </w:r>
          </w:p>
        </w:tc>
      </w:tr>
    </w:tbl>
    <w:bookmarkStart w:id="23"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valid for thirty (30) calendar days from the date of issue. Prices are quoted in Nigerian Naira (NGN) and are subject to revision upon expiry due to material cost fluctuations in the Abuja market.</w:t>
      </w:r>
    </w:p>
    <w:p>
      <w:pPr>
        <w:numPr>
          <w:ilvl w:val="0"/>
          <w:numId w:val="1001"/>
        </w:numPr>
        <w:pStyle w:val="Compact"/>
      </w:pPr>
      <w:r>
        <w:t xml:space="preserve">All orthodontic procedures will be performed or directly supervised by a registered Orthodontist at our Nigeria Abuja clinic in compliance with the National Medical Council (NMC) guidelines and the Nigerian Orthodontic Society (NOS) ethical standards.</w:t>
      </w:r>
    </w:p>
    <w:p>
      <w:pPr>
        <w:numPr>
          <w:ilvl w:val="0"/>
          <w:numId w:val="1001"/>
        </w:numPr>
        <w:pStyle w:val="Compact"/>
      </w:pPr>
      <w:r>
        <w:t xml:space="preserve">The patient is required to attend all scheduled monthly adjustment appointments. Missed appointments beyond two (2) consecutive visits may result in a rescheduling fee of NGN 15,000 per occurrence.</w:t>
      </w:r>
    </w:p>
    <w:p>
      <w:pPr>
        <w:numPr>
          <w:ilvl w:val="0"/>
          <w:numId w:val="1001"/>
        </w:numPr>
        <w:pStyle w:val="Compact"/>
      </w:pPr>
      <w:r>
        <w:t xml:space="preserve">Any additional procedures not foreseen in this Quotation Estimate (e.g., root canal treatment, periodontal intervention, or surgical orthodontics) will be quoted separately in writing before commencement.</w:t>
      </w:r>
    </w:p>
    <w:p>
      <w:pPr>
        <w:numPr>
          <w:ilvl w:val="0"/>
          <w:numId w:val="1001"/>
        </w:numPr>
        <w:pStyle w:val="Compact"/>
      </w:pPr>
      <w:r>
        <w:t xml:space="preserve">Payment may be made via bank transfer to our designated account, POS, or cash at the clinic reception in Wuse II, Abuja. A receipt will be issued for every transaction.</w:t>
      </w:r>
    </w:p>
    <w:p>
      <w:pPr>
        <w:numPr>
          <w:ilvl w:val="0"/>
          <w:numId w:val="1001"/>
        </w:numPr>
        <w:pStyle w:val="Compact"/>
      </w:pPr>
      <w:r>
        <w:t xml:space="preserve">This Quotation Estimate does not constitute a guarantee of a specific aesthetic outcome. The Orthodontist will use best clinical judgement throughout the treatment duration.</w:t>
      </w:r>
    </w:p>
    <w:p>
      <w:pPr>
        <w:numPr>
          <w:ilvl w:val="0"/>
          <w:numId w:val="1001"/>
        </w:numPr>
        <w:pStyle w:val="Compact"/>
      </w:pPr>
      <w:r>
        <w:t xml:space="preserve">Confidentiality of all patient records, radiographs, and treatment photographs is maintained in accordance with the Nigeria Data Protection Regulation (NDPR) 2019.</w:t>
      </w:r>
    </w:p>
    <w:p>
      <w:pPr>
        <w:numPr>
          <w:ilvl w:val="0"/>
          <w:numId w:val="1001"/>
        </w:numPr>
        <w:pStyle w:val="Compact"/>
      </w:pPr>
      <w:r>
        <w:t xml:space="preserve">Disputes arising from this Quotation Estimate shall be resolved amicably or, failing that, through the appropriate legal channels in the Federal Capital Territory, Nigeria Abuja.</w:t>
      </w:r>
    </w:p>
    <w:bookmarkEnd w:id="23"/>
    <w:p>
      <w:pPr>
        <w:pStyle w:val="FirstParagraph"/>
      </w:pPr>
      <w:r>
        <w:rPr>
          <w:bCs/>
          <w:b/>
        </w:rPr>
        <w:t xml:space="preserve">Prepared By:</w:t>
      </w:r>
      <w:r>
        <w:br/>
      </w:r>
      <w:r>
        <w:t xml:space="preserve">Dr. Emeka Nwankwo, MDS (Ortho)</w:t>
      </w:r>
      <w:r>
        <w:br/>
      </w:r>
      <w:r>
        <w:t xml:space="preserve">Lead Orthodontist, Capital Smile Orthodontic Centre</w:t>
      </w:r>
      <w:r>
        <w:br/>
      </w:r>
      <w:r>
        <w:t xml:space="preserve">Date: _______________</w:t>
      </w:r>
    </w:p>
    <w:p>
      <w:pPr>
        <w:pStyle w:val="BodyText"/>
      </w:pPr>
      <w:r>
        <w:rPr>
          <w:bCs/>
          <w:b/>
        </w:rPr>
        <w:t xml:space="preserve">Accepted By (Patient/Guardian):</w:t>
      </w:r>
      <w:r>
        <w:br/>
      </w:r>
      <w:r>
        <w:t xml:space="preserve">Ms. Adaeze Okafor</w:t>
      </w:r>
      <w:r>
        <w:br/>
      </w:r>
      <w:r>
        <w:t xml:space="preserve">Signature: _______________ Date: _______________</w:t>
      </w:r>
    </w:p>
    <w:p>
      <w:pPr>
        <w:pStyle w:val="BodyText"/>
      </w:pPr>
      <w:r>
        <w:t xml:space="preserve">Capital Smile Orthodontic Centre • Plot 14, Aminu Kano Crescent, Wuse II, Abuja, FCT, Nigeria</w:t>
      </w:r>
    </w:p>
    <w:p>
      <w:pPr>
        <w:pStyle w:val="BodyText"/>
      </w:pPr>
      <w:r>
        <w:t xml:space="preserve">This Quotation Estimate document is generated electronically and is valid without a physical stamp. For queries, contact our Abuja reception on +234 803 555 0192.</w:t>
      </w:r>
    </w:p>
    <w:p>
      <w:pPr>
        <w:pStyle w:val="BodyText"/>
      </w:pPr>
      <w:r>
        <w:t xml:space="preserve">© 2025 Capital Smile Orthodontic Centre.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Nigeria Abuja</dc:title>
  <dc:creator/>
  <dc:language>en</dc:language>
  <cp:keywords/>
  <dcterms:created xsi:type="dcterms:W3CDTF">2026-10-10T07:02:28Z</dcterms:created>
  <dcterms:modified xsi:type="dcterms:W3CDTF">2026-10-10T07:02:28Z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