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Orthodontist Professional Services — Russia Moscow</w:t>
      </w:r>
    </w:p>
    <w:bookmarkEnd w:id="20"/>
    <w:bookmarkStart w:id="21" w:name="service-provider"/>
    <w:p>
      <w:pPr>
        <w:pStyle w:val="Heading3"/>
      </w:pPr>
      <w:r>
        <w:t xml:space="preserve">Service Provider</w:t>
      </w:r>
    </w:p>
    <w:p>
      <w:pPr>
        <w:pStyle w:val="FirstParagraph"/>
      </w:pPr>
      <w:r>
        <w:rPr>
          <w:bCs/>
          <w:b/>
        </w:rPr>
        <w:t xml:space="preserve">Moscow Capital Orthodontic Centre</w:t>
      </w:r>
    </w:p>
    <w:p>
      <w:pPr>
        <w:pStyle w:val="BodyText"/>
      </w:pPr>
      <w:r>
        <w:t xml:space="preserve">12 Tverskaya Street, Building 3</w:t>
      </w:r>
    </w:p>
    <w:p>
      <w:pPr>
        <w:pStyle w:val="BodyText"/>
      </w:pPr>
      <w:r>
        <w:t xml:space="preserve">Moscow, 125009, Russia</w:t>
      </w:r>
    </w:p>
    <w:p>
      <w:pPr>
        <w:pStyle w:val="BodyText"/>
      </w:pPr>
      <w:r>
        <w:t xml:space="preserve">Tel: +7 (495) 123-45-67</w:t>
      </w:r>
    </w:p>
    <w:p>
      <w:pPr>
        <w:pStyle w:val="BodyText"/>
      </w:pPr>
      <w:r>
        <w:t xml:space="preserve">Email: info@moscowortho.ru</w:t>
      </w:r>
    </w:p>
    <w:p>
      <w:pPr>
        <w:pStyle w:val="BodyText"/>
      </w:pPr>
      <w:r>
        <w:t xml:space="preserve">INN: 7701234567</w:t>
      </w:r>
    </w:p>
    <w:bookmarkEnd w:id="21"/>
    <w:bookmarkStart w:id="22" w:name="client-information"/>
    <w:p>
      <w:pPr>
        <w:pStyle w:val="Heading3"/>
      </w:pPr>
      <w:r>
        <w:t xml:space="preserve">Client Information</w:t>
      </w:r>
    </w:p>
    <w:p>
      <w:pPr>
        <w:pStyle w:val="FirstParagraph"/>
      </w:pPr>
      <w:r>
        <w:rPr>
          <w:bCs/>
          <w:b/>
        </w:rPr>
        <w:t xml:space="preserve">Mr. Alexander Petrov</w:t>
      </w:r>
    </w:p>
    <w:p>
      <w:pPr>
        <w:pStyle w:val="BodyText"/>
      </w:pPr>
      <w:r>
        <w:t xml:space="preserve">45 Arbat Avenue, Apt. 12</w:t>
      </w:r>
    </w:p>
    <w:p>
      <w:pPr>
        <w:pStyle w:val="BodyText"/>
      </w:pPr>
      <w:r>
        <w:t xml:space="preserve">Moscow, 119019, Russia</w:t>
      </w:r>
    </w:p>
    <w:p>
      <w:pPr>
        <w:pStyle w:val="BodyText"/>
      </w:pPr>
      <w:r>
        <w:t xml:space="preserve">Tel: +7 (916) 555-12-34</w:t>
      </w:r>
    </w:p>
    <w:p>
      <w:pPr>
        <w:pStyle w:val="BodyText"/>
      </w:pPr>
      <w:r>
        <w:t xml:space="preserve">Email: a.petrov@mail.ru</w:t>
      </w:r>
    </w:p>
    <w:bookmarkEnd w:id="22"/>
    <w:p>
      <w:pPr>
        <w:pStyle w:val="BodyText"/>
      </w:pPr>
      <w:r>
        <w:rPr>
          <w:bCs/>
          <w:b/>
        </w:rPr>
        <w:t xml:space="preserve">Quotation Estimate No.:</w:t>
      </w:r>
      <w:r>
        <w:t xml:space="preserve"> </w:t>
      </w:r>
      <w:r>
        <w:t xml:space="preserve">QE-2025-0847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Prepared By:</w:t>
      </w:r>
      <w:r>
        <w:t xml:space="preserve"> </w:t>
      </w:r>
      <w:r>
        <w:t xml:space="preserve">Dr. Elena Sokolova, Lead Orthodontist</w:t>
      </w:r>
    </w:p>
    <w:p>
      <w:pPr>
        <w:pStyle w:val="BodyText"/>
      </w:pPr>
      <w:r>
        <w:rPr>
          <w:bCs/>
          <w:b/>
        </w:rPr>
        <w:t xml:space="preserve">Service Location:</w:t>
      </w:r>
      <w:r>
        <w:t xml:space="preserve"> </w:t>
      </w:r>
      <w:r>
        <w:t xml:space="preserve">Moscow Capital Orthodontic Centre, Russia Moscow</w:t>
      </w:r>
    </w:p>
    <w:p>
      <w:pPr>
        <w:pStyle w:val="BodyText"/>
      </w:pPr>
      <w:r>
        <w:t xml:space="preserve">This</w:t>
      </w:r>
      <w:r>
        <w:t xml:space="preserve"> </w:t>
      </w:r>
      <w:r>
        <w:t xml:space="preserve">Quotation Estimate</w:t>
      </w:r>
      <w:r>
        <w:t xml:space="preserve"> </w:t>
      </w:r>
      <w:r>
        <w:t xml:space="preserve">is issued by Moscow Capital Orthodontic Centre to provide a comprehensive and transparent breakdown of all anticipated costs associated with the full course of orthodontic treatment. As a licensed</w:t>
      </w:r>
      <w:r>
        <w:t xml:space="preserve"> </w:t>
      </w:r>
      <w:r>
        <w:t xml:space="preserve">Orthodontist</w:t>
      </w:r>
      <w:r>
        <w:t xml:space="preserve"> </w:t>
      </w:r>
      <w:r>
        <w:t xml:space="preserve">practice operating in</w:t>
      </w:r>
      <w:r>
        <w:t xml:space="preserve"> </w:t>
      </w:r>
      <w:r>
        <w:t xml:space="preserve">Russia Moscow</w:t>
      </w:r>
      <w:r>
        <w:t xml:space="preserve">, we are committed to delivering world-class dental care while ensuring complete financial clarity for every patient. The figures presented below reflect current pricing as of the date of issue and are subject to the terms outlined in this document.</w:t>
      </w:r>
    </w:p>
    <w:p>
      <w:pPr>
        <w:pStyle w:val="BodyText"/>
      </w:pPr>
      <w:r>
        <w:t xml:space="preserve">Scope of Orthodontist Services</w:t>
      </w:r>
    </w:p>
    <w:p>
      <w:pPr>
        <w:pStyle w:val="BodyText"/>
      </w:pPr>
      <w:r>
        <w:t xml:space="preserve">The following</w:t>
      </w:r>
      <w:r>
        <w:t xml:space="preserve"> </w:t>
      </w:r>
      <w:r>
        <w:t xml:space="preserve">Quotation Estimate</w:t>
      </w:r>
      <w:r>
        <w:t xml:space="preserve"> </w:t>
      </w:r>
      <w:r>
        <w:t xml:space="preserve">covers a complete orthodontic treatment plan as recommended by our senior</w:t>
      </w:r>
      <w:r>
        <w:t xml:space="preserve"> </w:t>
      </w:r>
      <w:r>
        <w:t xml:space="preserve">Orthodontist</w:t>
      </w:r>
      <w:r>
        <w:t xml:space="preserve"> </w:t>
      </w:r>
      <w:r>
        <w:t xml:space="preserve">following a full clinical examination, panoramic radiography, intraoral scanning, and digital treatment simulation conducted at our clinic in</w:t>
      </w:r>
      <w:r>
        <w:t xml:space="preserve"> </w:t>
      </w:r>
      <w:r>
        <w:t xml:space="preserve">Russia Moscow</w:t>
      </w:r>
      <w:r>
        <w:t xml:space="preserve">. The treatment plan includes initial diagnostics, active orthodontic correction, retention, and all necessary follow-up appointments over an estimated 24-month treatment period.</w:t>
      </w:r>
    </w:p>
    <w:p>
      <w:pPr>
        <w:pStyle w:val="BodyText"/>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Initial Consultation &amp; Comprehensive Diagnostics (intraoral scan, panoramic X-ray, cephalometric analysis, digital treatment plan)</w:t>
            </w:r>
          </w:p>
        </w:tc>
        <w:tc>
          <w:tcPr/>
          <w:p>
            <w:pPr>
              <w:pStyle w:val="Compact"/>
              <w:jc w:val="left"/>
            </w:pPr>
            <w:r>
              <w:t xml:space="preserve">1 session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Custom Ceramic Braces Fabrication &amp; Placement (upper and lower arches, 28 brackets total)</w:t>
            </w:r>
          </w:p>
        </w:tc>
        <w:tc>
          <w:tcPr/>
          <w:p>
            <w:pPr>
              <w:pStyle w:val="Compact"/>
              <w:jc w:val="left"/>
            </w:pPr>
            <w:r>
              <w:t xml:space="preserve">1 set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3</w:t>
            </w:r>
          </w:p>
        </w:tc>
        <w:tc>
          <w:tcPr/>
          <w:p>
            <w:pPr>
              <w:pStyle w:val="Compact"/>
              <w:jc w:val="left"/>
            </w:pPr>
            <w:r>
              <w:t xml:space="preserve">Monthly Orthodontist Adjustment Appointments (wire changes, elastic adjustments, progress monitoring)</w:t>
            </w:r>
          </w:p>
        </w:tc>
        <w:tc>
          <w:tcPr/>
          <w:p>
            <w:pPr>
              <w:pStyle w:val="Compact"/>
              <w:jc w:val="left"/>
            </w:pPr>
            <w:r>
              <w:t xml:space="preserve">22 sessions</w:t>
            </w:r>
          </w:p>
        </w:tc>
        <w:tc>
          <w:tcPr/>
          <w:p>
            <w:pPr>
              <w:pStyle w:val="Compact"/>
              <w:jc w:val="left"/>
            </w:pPr>
            <w:r>
              <w:t xml:space="preserve">6,500</w:t>
            </w:r>
          </w:p>
        </w:tc>
        <w:tc>
          <w:tcPr/>
          <w:p>
            <w:pPr>
              <w:pStyle w:val="Compact"/>
              <w:jc w:val="left"/>
            </w:pPr>
            <w:r>
              <w:t xml:space="preserve">143,000</w:t>
            </w:r>
          </w:p>
        </w:tc>
      </w:tr>
      <w:tr>
        <w:tc>
          <w:tcPr/>
          <w:p>
            <w:pPr>
              <w:pStyle w:val="Compact"/>
              <w:jc w:val="left"/>
            </w:pPr>
            <w:r>
              <w:t xml:space="preserve">4</w:t>
            </w:r>
          </w:p>
        </w:tc>
        <w:tc>
          <w:tcPr/>
          <w:p>
            <w:pPr>
              <w:pStyle w:val="Compact"/>
              <w:jc w:val="left"/>
            </w:pPr>
            <w:r>
              <w:t xml:space="preserve">Interproximal Reduction (IPR) &amp; Minor Orthodontic Surgery (if required for space creation)</w:t>
            </w:r>
          </w:p>
        </w:tc>
        <w:tc>
          <w:tcPr/>
          <w:p>
            <w:pPr>
              <w:pStyle w:val="Compact"/>
              <w:jc w:val="left"/>
            </w:pPr>
            <w:r>
              <w:t xml:space="preserve">1 session</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5</w:t>
            </w:r>
          </w:p>
        </w:tc>
        <w:tc>
          <w:tcPr/>
          <w:p>
            <w:pPr>
              <w:pStyle w:val="Compact"/>
              <w:jc w:val="left"/>
            </w:pPr>
            <w:r>
              <w:t xml:space="preserve">Braces Removal &amp; Post-Treatment Polishing</w:t>
            </w:r>
          </w:p>
        </w:tc>
        <w:tc>
          <w:tcPr/>
          <w:p>
            <w:pPr>
              <w:pStyle w:val="Compact"/>
              <w:jc w:val="left"/>
            </w:pPr>
            <w:r>
              <w:t xml:space="preserve">1 session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6</w:t>
            </w:r>
          </w:p>
        </w:tc>
        <w:tc>
          <w:tcPr/>
          <w:p>
            <w:pPr>
              <w:pStyle w:val="Compact"/>
              <w:jc w:val="left"/>
            </w:pPr>
            <w:r>
              <w:t xml:space="preserve">Custom Retainer Fabrication (upper and lower, 2 sets for 2-year retention period)</w:t>
            </w:r>
          </w:p>
        </w:tc>
        <w:tc>
          <w:tcPr/>
          <w:p>
            <w:pPr>
              <w:pStyle w:val="Compact"/>
              <w:jc w:val="left"/>
            </w:pPr>
            <w:r>
              <w:t xml:space="preserve">2 sets</w:t>
            </w:r>
          </w:p>
        </w:tc>
        <w:tc>
          <w:tcPr/>
          <w:p>
            <w:pPr>
              <w:pStyle w:val="Compact"/>
              <w:jc w:val="left"/>
            </w:pPr>
            <w:r>
              <w:t xml:space="preserve">18,000</w:t>
            </w:r>
          </w:p>
        </w:tc>
        <w:tc>
          <w:tcPr/>
          <w:p>
            <w:pPr>
              <w:pStyle w:val="Compact"/>
              <w:jc w:val="left"/>
            </w:pPr>
            <w:r>
              <w:t xml:space="preserve">36,000</w:t>
            </w:r>
          </w:p>
        </w:tc>
      </w:tr>
      <w:tr>
        <w:tc>
          <w:tcPr/>
          <w:p>
            <w:pPr>
              <w:pStyle w:val="Compact"/>
              <w:jc w:val="left"/>
            </w:pPr>
            <w:r>
              <w:t xml:space="preserve">7</w:t>
            </w:r>
          </w:p>
        </w:tc>
        <w:tc>
          <w:tcPr/>
          <w:p>
            <w:pPr>
              <w:pStyle w:val="Compact"/>
              <w:jc w:val="left"/>
            </w:pPr>
            <w:r>
              <w:t xml:space="preserve">Retention Follow-Up Visits (quarterly check-ups over 24 months)</w:t>
            </w:r>
          </w:p>
        </w:tc>
        <w:tc>
          <w:tcPr/>
          <w:p>
            <w:pPr>
              <w:pStyle w:val="Compact"/>
              <w:jc w:val="left"/>
            </w:pPr>
            <w:r>
              <w:t xml:space="preserve">8 sessions</w:t>
            </w:r>
          </w:p>
        </w:tc>
        <w:tc>
          <w:tcPr/>
          <w:p>
            <w:pPr>
              <w:pStyle w:val="Compact"/>
              <w:jc w:val="left"/>
            </w:pPr>
            <w:r>
              <w:t xml:space="preserve">3,500</w:t>
            </w:r>
          </w:p>
        </w:tc>
        <w:tc>
          <w:tcPr/>
          <w:p>
            <w:pPr>
              <w:pStyle w:val="Compact"/>
              <w:jc w:val="left"/>
            </w:pPr>
            <w:r>
              <w:t xml:space="preserve">28,000</w:t>
            </w:r>
          </w:p>
        </w:tc>
      </w:tr>
      <w:tr>
        <w:tc>
          <w:tcPr/>
          <w:p>
            <w:pPr>
              <w:pStyle w:val="Compact"/>
              <w:jc w:val="left"/>
            </w:pPr>
            <w:r>
              <w:t xml:space="preserve">8</w:t>
            </w:r>
          </w:p>
        </w:tc>
        <w:tc>
          <w:tcPr/>
          <w:p>
            <w:pPr>
              <w:pStyle w:val="Compact"/>
              <w:jc w:val="left"/>
            </w:pPr>
            <w:r>
              <w:t xml:space="preserve">Emergency Orthodontist Visits (broken bracket, wire irritation, urgent adjustments)</w:t>
            </w:r>
          </w:p>
        </w:tc>
        <w:tc>
          <w:tcPr/>
          <w:p>
            <w:pPr>
              <w:pStyle w:val="Compact"/>
              <w:jc w:val="left"/>
            </w:pPr>
            <w:r>
              <w:t xml:space="preserve">Up to 3</w:t>
            </w:r>
          </w:p>
        </w:tc>
        <w:tc>
          <w:tcPr/>
          <w:p>
            <w:pPr>
              <w:pStyle w:val="Compact"/>
              <w:jc w:val="left"/>
            </w:pPr>
            <w:r>
              <w:t xml:space="preserve">4,000</w:t>
            </w:r>
          </w:p>
        </w:tc>
        <w:tc>
          <w:tcPr/>
          <w:p>
            <w:pPr>
              <w:pStyle w:val="Compact"/>
              <w:jc w:val="left"/>
            </w:pPr>
            <w:r>
              <w:t xml:space="preserve">12,000</w:t>
            </w:r>
          </w:p>
        </w:tc>
      </w:tr>
      <w:tr>
        <w:tc>
          <w:tcPr/>
          <w:p>
            <w:pPr>
              <w:pStyle w:val="Compact"/>
              <w:jc w:val="left"/>
            </w:pPr>
            <w:r>
              <w:t xml:space="preserve">9</w:t>
            </w:r>
          </w:p>
        </w:tc>
        <w:tc>
          <w:tcPr/>
          <w:p>
            <w:pPr>
              <w:pStyle w:val="Compact"/>
              <w:jc w:val="left"/>
            </w:pPr>
            <w:r>
              <w:t xml:space="preserve">Digital Progress Documentation &amp; Final Treatment Report</w:t>
            </w:r>
          </w:p>
        </w:tc>
        <w:tc>
          <w:tcPr/>
          <w:p>
            <w:pPr>
              <w:pStyle w:val="Compact"/>
              <w:jc w:val="left"/>
            </w:pPr>
            <w:r>
              <w:t xml:space="preserve">1 package</w:t>
            </w:r>
          </w:p>
        </w:tc>
        <w:tc>
          <w:tcPr/>
          <w:p>
            <w:pPr>
              <w:pStyle w:val="Compact"/>
              <w:jc w:val="left"/>
            </w:pPr>
            <w:r>
              <w:t xml:space="preserve">5,000</w:t>
            </w:r>
          </w:p>
        </w:tc>
        <w:tc>
          <w:tcPr/>
          <w:p>
            <w:pPr>
              <w:pStyle w:val="Compact"/>
              <w:jc w:val="left"/>
            </w:pPr>
            <w:r>
              <w:t xml:space="preserve">5,000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Subtotal</w:t>
            </w:r>
          </w:p>
        </w:tc>
        <w:tc>
          <w:tcPr/>
          <w:p>
            <w:pPr>
              <w:pStyle w:val="Compact"/>
              <w:jc w:val="right"/>
            </w:pPr>
            <w:r>
              <w:t xml:space="preserve">454,500.00 RUB</w:t>
            </w:r>
          </w:p>
        </w:tc>
      </w:tr>
      <w:tr>
        <w:tc>
          <w:tcPr/>
          <w:p>
            <w:pPr>
              <w:pStyle w:val="Compact"/>
              <w:jc w:val="left"/>
            </w:pPr>
            <w:r>
              <w:t xml:space="preserve">VAT (20% — Russian Federation)</w:t>
            </w:r>
          </w:p>
        </w:tc>
        <w:tc>
          <w:tcPr/>
          <w:p>
            <w:pPr>
              <w:pStyle w:val="Compact"/>
              <w:jc w:val="right"/>
            </w:pPr>
            <w:r>
              <w:t xml:space="preserve">90,900.00 RUB</w:t>
            </w:r>
          </w:p>
        </w:tc>
      </w:tr>
      <w:tr>
        <w:tc>
          <w:tcPr/>
          <w:p>
            <w:pPr>
              <w:pStyle w:val="Compact"/>
              <w:jc w:val="left"/>
            </w:pPr>
            <w:r>
              <w:t xml:space="preserve">Grand Total</w:t>
            </w:r>
          </w:p>
        </w:tc>
        <w:tc>
          <w:tcPr/>
          <w:p>
            <w:pPr>
              <w:pStyle w:val="Compact"/>
              <w:jc w:val="right"/>
            </w:pPr>
            <w:r>
              <w:t xml:space="preserve">545,400.00 RUB</w:t>
            </w:r>
          </w:p>
        </w:tc>
      </w:tr>
    </w:tbl>
    <w:p>
      <w:pPr>
        <w:pStyle w:val="BodyText"/>
      </w:pPr>
      <w:r>
        <w:t xml:space="preserve">Payment Terms &amp; Conditions</w:t>
      </w:r>
    </w:p>
    <w:p>
      <w:pPr>
        <w:numPr>
          <w:ilvl w:val="0"/>
          <w:numId w:val="1001"/>
        </w:numPr>
        <w:pStyle w:val="Compact"/>
      </w:pPr>
      <w:r>
        <w:t xml:space="preserve">This</w:t>
      </w:r>
      <w:r>
        <w:t xml:space="preserve"> </w:t>
      </w:r>
      <w:r>
        <w:t xml:space="preserve">Quotation Estimate</w:t>
      </w:r>
      <w:r>
        <w:t xml:space="preserve"> </w:t>
      </w:r>
      <w:r>
        <w:t xml:space="preserve">is valid for 30 calendar days from the date of issue. After the expiry date, pricing may be subject to revision based on material costs and exchange rate fluctuations applicable in</w:t>
      </w:r>
      <w:r>
        <w:t xml:space="preserve"> </w:t>
      </w:r>
      <w:r>
        <w:t xml:space="preserve">Russia Moscow</w:t>
      </w:r>
      <w:r>
        <w:t xml:space="preserve">.</w:t>
      </w:r>
    </w:p>
    <w:p>
      <w:pPr>
        <w:numPr>
          <w:ilvl w:val="0"/>
          <w:numId w:val="1001"/>
        </w:numPr>
        <w:pStyle w:val="Compact"/>
      </w:pPr>
      <w:r>
        <w:t xml:space="preserve">A non-refundable deposit of 30% (163,620.00 RUB) is required to secure the treatment slot and commence the initial diagnostics phase with our</w:t>
      </w:r>
      <w:r>
        <w:t xml:space="preserve"> </w:t>
      </w:r>
      <w:r>
        <w:t xml:space="preserve">Orthodontist</w:t>
      </w:r>
      <w:r>
        <w:t xml:space="preserve"> </w:t>
      </w:r>
      <w:r>
        <w:t xml:space="preserve">team.</w:t>
      </w:r>
    </w:p>
    <w:p>
      <w:pPr>
        <w:numPr>
          <w:ilvl w:val="0"/>
          <w:numId w:val="1001"/>
        </w:numPr>
        <w:pStyle w:val="Compact"/>
      </w:pPr>
      <w:r>
        <w:t xml:space="preserve">The remaining balance may be paid in equal monthly instalments over the 22-month active treatment period, or in full at the time of braces placement. A 5% discount applies to full prepayment of the active treatment phase.</w:t>
      </w:r>
    </w:p>
    <w:p>
      <w:pPr>
        <w:numPr>
          <w:ilvl w:val="0"/>
          <w:numId w:val="1001"/>
        </w:numPr>
        <w:pStyle w:val="Compact"/>
      </w:pPr>
      <w:r>
        <w:t xml:space="preserve">All payments are to be made in Russian Rubles (RUB) via bank transfer to the account of Moscow Capital Orthodontic Centre, or by card at the clinic reception in</w:t>
      </w:r>
      <w:r>
        <w:t xml:space="preserve"> </w:t>
      </w:r>
      <w:r>
        <w:t xml:space="preserve">Russia Moscow</w:t>
      </w:r>
      <w:r>
        <w:t xml:space="preserve">.</w:t>
      </w:r>
    </w:p>
    <w:p>
      <w:pPr>
        <w:numPr>
          <w:ilvl w:val="0"/>
          <w:numId w:val="1001"/>
        </w:numPr>
        <w:pStyle w:val="Compact"/>
      </w:pPr>
      <w:r>
        <w:t xml:space="preserve">Any additional procedures not included in this</w:t>
      </w:r>
      <w:r>
        <w:t xml:space="preserve"> </w:t>
      </w:r>
      <w:r>
        <w:t xml:space="preserve">Quotation Estimate</w:t>
      </w:r>
      <w:r>
        <w:t xml:space="preserve"> </w:t>
      </w:r>
      <w:r>
        <w:t xml:space="preserve">(e.g., extraction of impacted teeth, periodontal treatment, or extended retention beyond 24 months) will be quoted separately in writing prior to commencement.</w:t>
      </w:r>
    </w:p>
    <w:p>
      <w:pPr>
        <w:numPr>
          <w:ilvl w:val="0"/>
          <w:numId w:val="1001"/>
        </w:numPr>
        <w:pStyle w:val="Compact"/>
      </w:pPr>
      <w:r>
        <w:t xml:space="preserve">Should the treatment duration exceed the estimated 24 months due to patient non-compliance (missed appointments, failure to wear elastics as directed), additional monthly adjustment fees of 6,500 RUB per session will apply.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treatment agreement will be executed upon acceptance of this estimate and payment of the initial deposit.</w:t>
      </w:r>
    </w:p>
    <w:p>
      <w:pPr>
        <w:numPr>
          <w:ilvl w:val="0"/>
          <w:numId w:val="1001"/>
        </w:numPr>
        <w:pStyle w:val="Compact"/>
      </w:pPr>
      <w:r>
        <w:t xml:space="preserve">All services are performed in strict compliance with the regulations of the Ministry of Health of the Russian Federation and the professional standards of the Russian Association of Orthodontists.</w:t>
      </w:r>
    </w:p>
    <w:p>
      <w:pPr>
        <w:pStyle w:val="FirstParagraph"/>
      </w:pPr>
      <w:r>
        <w:t xml:space="preserve">Acceptance &amp; Authorisation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Orthodontist</w:t>
      </w:r>
      <w:r>
        <w:t xml:space="preserve"> </w:t>
      </w:r>
      <w:r>
        <w:t xml:space="preserve">services in</w:t>
      </w:r>
      <w:r>
        <w:t xml:space="preserve"> </w:t>
      </w:r>
      <w:r>
        <w:t xml:space="preserve">Russia Moscow</w:t>
      </w:r>
      <w:r>
        <w:t xml:space="preserve"> </w:t>
      </w:r>
      <w:r>
        <w:t xml:space="preserve">and agrees to the terms and conditions set forth herein. The client confirms that the treatment plan has been explained in full and that all questions regarding the scope, duration, and cost of the orthodontic procedure have been satisfactorily addressed by the treating</w:t>
      </w:r>
      <w:r>
        <w:t xml:space="preserve"> </w:t>
      </w:r>
      <w:r>
        <w:t xml:space="preserve">Orthodontist</w:t>
      </w:r>
      <w:r>
        <w:t xml:space="preserve">.</w:t>
      </w:r>
    </w:p>
    <w:p>
      <w:pPr>
        <w:pStyle w:val="BodyText"/>
      </w:pPr>
      <w:r>
        <w:rPr>
          <w:bCs/>
          <w:b/>
        </w:rPr>
        <w:t xml:space="preserve">Client Signature</w:t>
      </w:r>
      <w:r>
        <w:br/>
      </w:r>
      <w:r>
        <w:t xml:space="preserve">Name: Alexander Petrov</w:t>
      </w:r>
      <w:r>
        <w:br/>
      </w:r>
      <w:r>
        <w:t xml:space="preserve">Date: ______________________</w:t>
      </w:r>
    </w:p>
    <w:p>
      <w:pPr>
        <w:pStyle w:val="BodyText"/>
      </w:pPr>
      <w:r>
        <w:rPr>
          <w:bCs/>
          <w:b/>
        </w:rPr>
        <w:t xml:space="preserve">Authorised Representative</w:t>
      </w:r>
      <w:r>
        <w:br/>
      </w:r>
      <w:r>
        <w:t xml:space="preserve">Name: Dr. Elena Sokolova, Lead Orthodontist</w:t>
      </w:r>
      <w:r>
        <w:br/>
      </w:r>
      <w:r>
        <w:t xml:space="preserve">Moscow Capital Orthodontic Centre</w:t>
      </w:r>
      <w:r>
        <w:br/>
      </w:r>
      <w:r>
        <w:t xml:space="preserve">Date: ______________________</w:t>
      </w:r>
    </w:p>
    <w:p>
      <w:pPr>
        <w:pStyle w:val="BodyText"/>
      </w:pPr>
      <w:r>
        <w:t xml:space="preserve">Moscow Capital Orthodontic Centre • 12 Tverskaya Street, Building 3, Moscow, 125009, Russia</w:t>
      </w:r>
    </w:p>
    <w:p>
      <w:pPr>
        <w:pStyle w:val="BodyText"/>
      </w:pPr>
      <w:r>
        <w:t xml:space="preserve">Quotation Estimate No. QE-2025-0847 • Issued 15 June 2025 • Page 1 of 1</w:t>
      </w:r>
    </w:p>
    <w:p>
      <w:pPr>
        <w:pStyle w:val="BodyText"/>
      </w:pPr>
      <w:r>
        <w:t xml:space="preserve">This document is generated electronically and is valid without a physical seal. For inquiries regarding this Quotation Estimate, please contact our Orthodontist office in Russia Moscow at +7 (495) 123-45-67.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Russia Moscow</dc:title>
  <dc:creator/>
  <dc:language>en</dc:language>
  <cp:keywords/>
  <dcterms:created xsi:type="dcterms:W3CDTF">2026-10-10T08:39:56Z</dcterms:created>
  <dcterms:modified xsi:type="dcterms:W3CDTF">2026-10-10T08:39:56Z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