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orthodontist-professional-services"/>
    <w:p>
      <w:pPr>
        <w:pStyle w:val="Heading2"/>
      </w:pPr>
      <w:r>
        <w:t xml:space="preserve">Orthodontist Professional Services</w:t>
      </w:r>
    </w:p>
    <w:p>
      <w:pPr>
        <w:pStyle w:val="FirstParagraph"/>
      </w:pPr>
      <w:r>
        <w:t xml:space="preserve">Sai Gon Orthodontic &amp; Dental Center</w:t>
      </w:r>
    </w:p>
    <w:p>
      <w:pPr>
        <w:pStyle w:val="BodyText"/>
      </w:pPr>
      <w:r>
        <w:t xml:space="preserve">128 Nguyen Hue Boulevard, District 1, Vietnam Ho Chi Minh City</w:t>
      </w:r>
    </w:p>
    <w:p>
      <w:pPr>
        <w:pStyle w:val="BodyText"/>
      </w:pPr>
      <w:r>
        <w:t xml:space="preserve">Tel: +84 28 3822 4567 | Email: info@saiagonortho.vn</w:t>
      </w:r>
    </w:p>
    <w:bookmarkEnd w:id="20"/>
    <w:bookmarkEnd w:id="21"/>
    <w:p>
      <w:pPr>
        <w:pStyle w:val="BodyText"/>
      </w:pPr>
      <w:r>
        <w:rPr>
          <w:bCs/>
          <w:b/>
        </w:rPr>
        <w:t xml:space="preserve">Quotation No.:</w:t>
      </w:r>
      <w:r>
        <w:t xml:space="preserve"> </w:t>
      </w:r>
      <w:r>
        <w:t xml:space="preserve">QTE-2025-HCM-0487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Nguyen Van Minh</w:t>
      </w:r>
      <w:r>
        <w:br/>
      </w:r>
      <w:r>
        <w:rPr>
          <w:bCs/>
          <w:b/>
        </w:rPr>
        <w:t xml:space="preserve">Address:</w:t>
      </w:r>
      <w:r>
        <w:t xml:space="preserve"> </w:t>
      </w:r>
      <w:r>
        <w:t xml:space="preserve">45 Le Duan Street, District 3,</w:t>
      </w:r>
      <w:r>
        <w:br/>
      </w:r>
      <w:r>
        <w:t xml:space="preserve">Vietnam Ho Chi Minh City</w:t>
      </w:r>
      <w:r>
        <w:br/>
      </w:r>
      <w:r>
        <w:rPr>
          <w:bCs/>
          <w:b/>
        </w:rPr>
        <w:t xml:space="preserve">Contact:</w:t>
      </w:r>
      <w:r>
        <w:t xml:space="preserve"> </w:t>
      </w:r>
      <w:r>
        <w:t xml:space="preserve">+84 912 345 678</w:t>
      </w:r>
    </w:p>
    <w:p>
      <w:pPr>
        <w:pStyle w:val="BodyText"/>
      </w:pPr>
      <w:r>
        <w:rPr>
          <w:bCs/>
          <w:b/>
        </w:rPr>
        <w:t xml:space="preserve">Prepared By:</w:t>
      </w:r>
      <w:r>
        <w:t xml:space="preserve"> </w:t>
      </w:r>
      <w:r>
        <w:t xml:space="preserve">Dr. Tran Thi Lan</w:t>
      </w:r>
      <w:r>
        <w:br/>
      </w:r>
      <w:r>
        <w:rPr>
          <w:bCs/>
          <w:b/>
        </w:rPr>
        <w:t xml:space="preserve">Position:</w:t>
      </w:r>
      <w:r>
        <w:t xml:space="preserve"> </w:t>
      </w:r>
      <w:r>
        <w:t xml:space="preserve">Lead Orthodontist</w:t>
      </w:r>
      <w:r>
        <w:br/>
      </w:r>
      <w:r>
        <w:rPr>
          <w:bCs/>
          <w:b/>
        </w:rPr>
        <w:t xml:space="preserve">License No.:</w:t>
      </w:r>
      <w:r>
        <w:t xml:space="preserve"> </w:t>
      </w:r>
      <w:r>
        <w:t xml:space="preserve">VN-OD-2019-0342</w:t>
      </w:r>
    </w:p>
    <w:bookmarkStart w:id="22" w:name="introduction-and-scope-of-services"/>
    <w:p>
      <w:pPr>
        <w:pStyle w:val="Heading3"/>
      </w:pPr>
      <w:r>
        <w:t xml:space="preserve">1. Introduction and Scope of Services</w:t>
      </w:r>
    </w:p>
    <w:p>
      <w:pPr>
        <w:pStyle w:val="FirstParagraph"/>
      </w:pPr>
      <w:r>
        <w:t xml:space="preserve">This Quotation Estimate has been prepared by Sai Gon Orthodontic &amp; Dental Center, a licensed and accredited orthodontic practice located in the heart of Vietnam Ho Chi Minh City, to provide Mr. Nguyen Van Minh with a comprehensive and transparent breakdown of all anticipated costs associated with his orthodontic treatment plan. As a specialist Orthodontist with over fifteen years of clinical experience serving patients across Vietnam Ho Chi Minh City and the surrounding southern provinces, Dr. Tran Thi Lan and her team are committed to delivering world-class orthodontic care at competitive and clearly itemized rates.</w:t>
      </w:r>
    </w:p>
    <w:p>
      <w:pPr>
        <w:pStyle w:val="BodyText"/>
      </w:pPr>
      <w:r>
        <w:t xml:space="preserve">The following Quotation Estimate covers the full course of orthodontic treatment, including initial diagnostic assessments, appliance fabrication, all scheduled adjustment appointments, retention phase services, and any ancillary procedures deemed necessary by the treating Orthodontist to achieve optimal dental alignment and occlusal harmony. All pricing is quoted in Vietnamese Dong (VND) and reflects the current fee schedule of our clinic in Vietnam Ho Chi Minh City as of the date of issue.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Orthodontic Consultation &amp; Diagnostic Workup (X-rays, 3D CBCT scan, intraoral photography, digital impressions)</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Includes full treatment plan</w:t>
            </w:r>
          </w:p>
        </w:tc>
      </w:tr>
      <w:tr>
        <w:tc>
          <w:tcPr/>
          <w:p>
            <w:pPr>
              <w:pStyle w:val="Compact"/>
              <w:jc w:val="left"/>
            </w:pPr>
            <w:r>
              <w:t xml:space="preserve">2</w:t>
            </w:r>
          </w:p>
        </w:tc>
        <w:tc>
          <w:tcPr/>
          <w:p>
            <w:pPr>
              <w:pStyle w:val="Compact"/>
              <w:jc w:val="left"/>
            </w:pPr>
            <w:r>
              <w:t xml:space="preserve">Fixed Ceramic Braces – Upper &amp; Lower Arch (appliance placement)</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3M Clarity brackets</w:t>
            </w:r>
          </w:p>
        </w:tc>
      </w:tr>
      <w:tr>
        <w:tc>
          <w:tcPr/>
          <w:p>
            <w:pPr>
              <w:pStyle w:val="Compact"/>
              <w:jc w:val="left"/>
            </w:pPr>
            <w:r>
              <w:t xml:space="preserve">3</w:t>
            </w:r>
          </w:p>
        </w:tc>
        <w:tc>
          <w:tcPr/>
          <w:p>
            <w:pPr>
              <w:pStyle w:val="Compact"/>
              <w:jc w:val="left"/>
            </w:pPr>
            <w:r>
              <w:t xml:space="preserve">Monthly Orthodontic Adjustment Appointments</w:t>
            </w:r>
          </w:p>
        </w:tc>
        <w:tc>
          <w:tcPr/>
          <w:p>
            <w:pPr>
              <w:pStyle w:val="Compact"/>
              <w:jc w:val="left"/>
            </w:pPr>
            <w:r>
              <w:t xml:space="preserve">22 months</w:t>
            </w:r>
          </w:p>
        </w:tc>
        <w:tc>
          <w:tcPr/>
          <w:p>
            <w:pPr>
              <w:pStyle w:val="Compact"/>
              <w:jc w:val="left"/>
            </w:pPr>
            <w:r>
              <w:t xml:space="preserve">1,200,000</w:t>
            </w:r>
          </w:p>
        </w:tc>
        <w:tc>
          <w:tcPr/>
          <w:p>
            <w:pPr>
              <w:pStyle w:val="Compact"/>
              <w:jc w:val="left"/>
            </w:pPr>
            <w:r>
              <w:t xml:space="preserve">26,400,000</w:t>
            </w:r>
          </w:p>
        </w:tc>
        <w:tc>
          <w:tcPr/>
          <w:p>
            <w:pPr>
              <w:pStyle w:val="Compact"/>
              <w:jc w:val="left"/>
            </w:pPr>
            <w:r>
              <w:t xml:space="preserve">Every 4–6 weeks</w:t>
            </w:r>
          </w:p>
        </w:tc>
      </w:tr>
      <w:tr>
        <w:tc>
          <w:tcPr/>
          <w:p>
            <w:pPr>
              <w:pStyle w:val="Compact"/>
              <w:jc w:val="left"/>
            </w:pPr>
            <w:r>
              <w:t xml:space="preserve">4</w:t>
            </w:r>
          </w:p>
        </w:tc>
        <w:tc>
          <w:tcPr/>
          <w:p>
            <w:pPr>
              <w:pStyle w:val="Compact"/>
              <w:jc w:val="left"/>
            </w:pPr>
            <w:r>
              <w:t xml:space="preserve">Interproximal Reduction (IPR) – as required by Orthodontist</w:t>
            </w:r>
          </w:p>
        </w:tc>
        <w:tc>
          <w:tcPr/>
          <w:p>
            <w:pPr>
              <w:pStyle w:val="Compact"/>
              <w:jc w:val="left"/>
            </w:pPr>
            <w:r>
              <w:t xml:space="preserve">Up to 4 sessions</w:t>
            </w:r>
          </w:p>
        </w:tc>
        <w:tc>
          <w:tcPr/>
          <w:p>
            <w:pPr>
              <w:pStyle w:val="Compact"/>
              <w:jc w:val="left"/>
            </w:pPr>
            <w:r>
              <w:t xml:space="preserve">800,000</w:t>
            </w:r>
          </w:p>
        </w:tc>
        <w:tc>
          <w:tcPr/>
          <w:p>
            <w:pPr>
              <w:pStyle w:val="Compact"/>
              <w:jc w:val="left"/>
            </w:pPr>
            <w:r>
              <w:t xml:space="preserve">3,200,000</w:t>
            </w:r>
          </w:p>
        </w:tc>
        <w:tc>
          <w:tcPr/>
          <w:p>
            <w:pPr>
              <w:pStyle w:val="Compact"/>
              <w:jc w:val="left"/>
            </w:pPr>
            <w:r>
              <w:t xml:space="preserve">Contingent on case</w:t>
            </w:r>
          </w:p>
        </w:tc>
      </w:tr>
      <w:tr>
        <w:tc>
          <w:tcPr/>
          <w:p>
            <w:pPr>
              <w:pStyle w:val="Compact"/>
              <w:jc w:val="left"/>
            </w:pPr>
            <w:r>
              <w:t xml:space="preserve">5</w:t>
            </w:r>
          </w:p>
        </w:tc>
        <w:tc>
          <w:tcPr/>
          <w:p>
            <w:pPr>
              <w:pStyle w:val="Compact"/>
              <w:jc w:val="left"/>
            </w:pPr>
            <w:r>
              <w:t xml:space="preserve">Elastics, O-rings &amp; Auxiliary Components (monthly supply)</w:t>
            </w:r>
          </w:p>
        </w:tc>
        <w:tc>
          <w:tcPr/>
          <w:p>
            <w:pPr>
              <w:pStyle w:val="Compact"/>
              <w:jc w:val="left"/>
            </w:pPr>
            <w:r>
              <w:t xml:space="preserve">22 months</w:t>
            </w:r>
          </w:p>
        </w:tc>
        <w:tc>
          <w:tcPr/>
          <w:p>
            <w:pPr>
              <w:pStyle w:val="Compact"/>
              <w:jc w:val="left"/>
            </w:pPr>
            <w:r>
              <w:t xml:space="preserve">350,000</w:t>
            </w:r>
          </w:p>
        </w:tc>
        <w:tc>
          <w:tcPr/>
          <w:p>
            <w:pPr>
              <w:pStyle w:val="Compact"/>
              <w:jc w:val="left"/>
            </w:pPr>
            <w:r>
              <w:t xml:space="preserve">7,700,000</w:t>
            </w:r>
          </w:p>
        </w:tc>
        <w:tc>
          <w:tcPr/>
          <w:p>
            <w:pPr>
              <w:pStyle w:val="Compact"/>
              <w:jc w:val="left"/>
            </w:pPr>
            <w:r>
              <w:t xml:space="preserve">Replaced each visit</w:t>
            </w:r>
          </w:p>
        </w:tc>
      </w:tr>
      <w:tr>
        <w:tc>
          <w:tcPr/>
          <w:p>
            <w:pPr>
              <w:pStyle w:val="Compact"/>
              <w:jc w:val="left"/>
            </w:pPr>
            <w:r>
              <w:t xml:space="preserve">6</w:t>
            </w:r>
          </w:p>
        </w:tc>
        <w:tc>
          <w:tcPr/>
          <w:p>
            <w:pPr>
              <w:pStyle w:val="Compact"/>
              <w:jc w:val="left"/>
            </w:pPr>
            <w:r>
              <w:t xml:space="preserve">Debonding &amp; Finishing (removal of brackets, polishing, occlusal adjustment)</w:t>
            </w:r>
          </w:p>
        </w:tc>
        <w:tc>
          <w:tcPr/>
          <w:p>
            <w:pPr>
              <w:pStyle w:val="Compact"/>
              <w:jc w:val="left"/>
            </w:pPr>
            <w:r>
              <w:t xml:space="preserve">One-time</w:t>
            </w:r>
          </w:p>
        </w:tc>
        <w:tc>
          <w:tcPr/>
          <w:p>
            <w:pPr>
              <w:pStyle w:val="Compact"/>
              <w:jc w:val="left"/>
            </w:pPr>
            <w:r>
              <w:t xml:space="preserve">5,000,000</w:t>
            </w:r>
          </w:p>
        </w:tc>
        <w:tc>
          <w:tcPr/>
          <w:p>
            <w:pPr>
              <w:pStyle w:val="Compact"/>
              <w:jc w:val="left"/>
            </w:pPr>
            <w:r>
              <w:t xml:space="preserve">5,000,000</w:t>
            </w:r>
          </w:p>
        </w:tc>
        <w:tc>
          <w:tcPr/>
          <w:p>
            <w:pPr>
              <w:pStyle w:val="Compact"/>
              <w:jc w:val="left"/>
            </w:pPr>
            <w:r>
              <w:t xml:space="preserve">Includes final X-ray</w:t>
            </w:r>
          </w:p>
        </w:tc>
      </w:tr>
      <w:tr>
        <w:tc>
          <w:tcPr/>
          <w:p>
            <w:pPr>
              <w:pStyle w:val="Compact"/>
              <w:jc w:val="left"/>
            </w:pPr>
            <w:r>
              <w:t xml:space="preserve">7</w:t>
            </w:r>
          </w:p>
        </w:tc>
        <w:tc>
          <w:tcPr/>
          <w:p>
            <w:pPr>
              <w:pStyle w:val="Compact"/>
              <w:jc w:val="left"/>
            </w:pPr>
            <w:r>
              <w:t xml:space="preserve">Fixed Retainer (upper &amp; lower) + 2 Removable Retainers (Hawley type)</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12-month supply</w:t>
            </w:r>
          </w:p>
        </w:tc>
      </w:tr>
      <w:tr>
        <w:tc>
          <w:tcPr/>
          <w:p>
            <w:pPr>
              <w:pStyle w:val="Compact"/>
              <w:jc w:val="left"/>
            </w:pPr>
            <w:r>
              <w:t xml:space="preserve">8</w:t>
            </w:r>
          </w:p>
        </w:tc>
        <w:tc>
          <w:tcPr/>
          <w:p>
            <w:pPr>
              <w:pStyle w:val="Compact"/>
              <w:jc w:val="left"/>
            </w:pPr>
            <w:r>
              <w:t xml:space="preserve">Post-Treatment Retention Check-ups (every 3 months for 12 months)</w:t>
            </w:r>
          </w:p>
        </w:tc>
        <w:tc>
          <w:tcPr/>
          <w:p>
            <w:pPr>
              <w:pStyle w:val="Compact"/>
              <w:jc w:val="left"/>
            </w:pPr>
            <w:r>
              <w:t xml:space="preserve">4 visits</w:t>
            </w:r>
          </w:p>
        </w:tc>
        <w:tc>
          <w:tcPr/>
          <w:p>
            <w:pPr>
              <w:pStyle w:val="Compact"/>
              <w:jc w:val="left"/>
            </w:pPr>
            <w:r>
              <w:t xml:space="preserve">500,000</w:t>
            </w:r>
          </w:p>
        </w:tc>
        <w:tc>
          <w:tcPr/>
          <w:p>
            <w:pPr>
              <w:pStyle w:val="Compact"/>
              <w:jc w:val="left"/>
            </w:pPr>
            <w:r>
              <w:t xml:space="preserve">2,000,000</w:t>
            </w:r>
          </w:p>
        </w:tc>
        <w:tc>
          <w:tcPr/>
          <w:p>
            <w:pPr>
              <w:pStyle w:val="Compact"/>
              <w:jc w:val="left"/>
            </w:pPr>
            <w:r>
              <w:t xml:space="preserve">Monitoring stability</w:t>
            </w:r>
          </w:p>
        </w:tc>
      </w:tr>
      <w:tr>
        <w:tc>
          <w:tcPr/>
          <w:p>
            <w:pPr>
              <w:pStyle w:val="Compact"/>
              <w:jc w:val="left"/>
            </w:pPr>
            <w:r>
              <w:t xml:space="preserve">9</w:t>
            </w:r>
          </w:p>
        </w:tc>
        <w:tc>
          <w:tcPr/>
          <w:p>
            <w:pPr>
              <w:pStyle w:val="Compact"/>
              <w:jc w:val="left"/>
            </w:pPr>
            <w:r>
              <w:t xml:space="preserve">Emergency / Unscheduled Visit (bracket re-cementation, wire adjustment)</w:t>
            </w:r>
          </w:p>
        </w:tc>
        <w:tc>
          <w:tcPr/>
          <w:p>
            <w:pPr>
              <w:pStyle w:val="Compact"/>
              <w:jc w:val="left"/>
            </w:pPr>
            <w:r>
              <w:t xml:space="preserve">Up to 3 visits</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Contingency allowance</w:t>
            </w:r>
          </w:p>
        </w:tc>
      </w:tr>
      <w:tr>
        <w:tc>
          <w:tcPr>
            <w:gridSpan w:val="4"/>
          </w:tcPr>
          <w:p>
            <w:pPr>
              <w:pStyle w:val="Compact"/>
              <w:jc w:val="left"/>
            </w:pPr>
            <w:r>
              <w:t xml:space="preserve">GRAND TOTAL (VND)</w:t>
            </w:r>
          </w:p>
        </w:tc>
        <w:tc>
          <w:tcPr/>
          <w:p>
            <w:pPr>
              <w:pStyle w:val="Compact"/>
              <w:jc w:val="left"/>
            </w:pPr>
            <w:r>
              <w:t xml:space="preserve">103,100,000</w:t>
            </w:r>
          </w:p>
        </w:tc>
        <w:tc>
          <w:tcPr/>
          <w:p>
            <w:pPr>
              <w:pStyle w:val="Compact"/>
            </w:pPr>
          </w:p>
        </w:tc>
      </w:tr>
    </w:tbl>
    <w:bookmarkEnd w:id="23"/>
    <w:bookmarkStart w:id="24" w:name="payment-schedule"/>
    <w:p>
      <w:pPr>
        <w:pStyle w:val="Heading3"/>
      </w:pPr>
      <w:r>
        <w:t xml:space="preserve">3. Payment Schedule</w:t>
      </w:r>
    </w:p>
    <w:p>
      <w:pPr>
        <w:pStyle w:val="FirstParagraph"/>
      </w:pPr>
      <w:r>
        <w:t xml:space="preserve">In accordance with the standard payment policy of our Orthodontist practice in Vietnam Ho Chi Minh City, the total Quotation Estimate amount may be settled through the following installment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(VND)</w:t>
            </w:r>
          </w:p>
        </w:tc>
        <w:tc>
          <w:tcPr/>
          <w:p>
            <w:pPr>
              <w:pStyle w:val="Compact"/>
              <w:jc w:val="left"/>
            </w:pPr>
            <w:r>
              <w:t xml:space="preserve">Percentage</w:t>
            </w:r>
          </w:p>
        </w:tc>
      </w:tr>
      <w:tr>
        <w:tc>
          <w:tcPr/>
          <w:p>
            <w:pPr>
              <w:pStyle w:val="Compact"/>
              <w:jc w:val="left"/>
            </w:pPr>
            <w:r>
              <w:t xml:space="preserve">1st – Deposit (upon signing)</w:t>
            </w:r>
          </w:p>
        </w:tc>
        <w:tc>
          <w:tcPr/>
          <w:p>
            <w:pPr>
              <w:pStyle w:val="Compact"/>
              <w:jc w:val="left"/>
            </w:pPr>
            <w:r>
              <w:t xml:space="preserve">15 June 2025</w:t>
            </w:r>
          </w:p>
        </w:tc>
        <w:tc>
          <w:tcPr/>
          <w:p>
            <w:pPr>
              <w:pStyle w:val="Compact"/>
              <w:jc w:val="left"/>
            </w:pPr>
            <w:r>
              <w:t xml:space="preserve">25,775,000</w:t>
            </w:r>
          </w:p>
        </w:tc>
        <w:tc>
          <w:tcPr/>
          <w:p>
            <w:pPr>
              <w:pStyle w:val="Compact"/>
              <w:jc w:val="left"/>
            </w:pPr>
            <w:r>
              <w:t xml:space="preserve">25%</w:t>
            </w:r>
          </w:p>
        </w:tc>
      </w:tr>
      <w:tr>
        <w:tc>
          <w:tcPr/>
          <w:p>
            <w:pPr>
              <w:pStyle w:val="Compact"/>
              <w:jc w:val="left"/>
            </w:pPr>
            <w:r>
              <w:t xml:space="preserve">2nd – Mid-treatment</w:t>
            </w:r>
          </w:p>
        </w:tc>
        <w:tc>
          <w:tcPr/>
          <w:p>
            <w:pPr>
              <w:pStyle w:val="Compact"/>
              <w:jc w:val="left"/>
            </w:pPr>
            <w:r>
              <w:t xml:space="preserve">15 December 2025</w:t>
            </w:r>
          </w:p>
        </w:tc>
        <w:tc>
          <w:tcPr/>
          <w:p>
            <w:pPr>
              <w:pStyle w:val="Compact"/>
              <w:jc w:val="left"/>
            </w:pPr>
            <w:r>
              <w:t xml:space="preserve">25,775,000</w:t>
            </w:r>
          </w:p>
        </w:tc>
        <w:tc>
          <w:tcPr/>
          <w:p>
            <w:pPr>
              <w:pStyle w:val="Compact"/>
              <w:jc w:val="left"/>
            </w:pPr>
            <w:r>
              <w:t xml:space="preserve">25%</w:t>
            </w:r>
          </w:p>
        </w:tc>
      </w:tr>
      <w:tr>
        <w:tc>
          <w:tcPr/>
          <w:p>
            <w:pPr>
              <w:pStyle w:val="Compact"/>
              <w:jc w:val="left"/>
            </w:pPr>
            <w:r>
              <w:t xml:space="preserve">3rd – Pre-debonding</w:t>
            </w:r>
          </w:p>
        </w:tc>
        <w:tc>
          <w:tcPr/>
          <w:p>
            <w:pPr>
              <w:pStyle w:val="Compact"/>
              <w:jc w:val="left"/>
            </w:pPr>
            <w:r>
              <w:t xml:space="preserve">15 June 2026</w:t>
            </w:r>
          </w:p>
        </w:tc>
        <w:tc>
          <w:tcPr/>
          <w:p>
            <w:pPr>
              <w:pStyle w:val="Compact"/>
              <w:jc w:val="left"/>
            </w:pPr>
            <w:r>
              <w:t xml:space="preserve">25,775,000</w:t>
            </w:r>
          </w:p>
        </w:tc>
        <w:tc>
          <w:tcPr/>
          <w:p>
            <w:pPr>
              <w:pStyle w:val="Compact"/>
              <w:jc w:val="left"/>
            </w:pPr>
            <w:r>
              <w:t xml:space="preserve">25%</w:t>
            </w:r>
          </w:p>
        </w:tc>
      </w:tr>
      <w:tr>
        <w:tc>
          <w:tcPr/>
          <w:p>
            <w:pPr>
              <w:pStyle w:val="Compact"/>
              <w:jc w:val="left"/>
            </w:pPr>
            <w:r>
              <w:t xml:space="preserve">4th – Final (retention phase)</w:t>
            </w:r>
          </w:p>
        </w:tc>
        <w:tc>
          <w:tcPr/>
          <w:p>
            <w:pPr>
              <w:pStyle w:val="Compact"/>
              <w:jc w:val="left"/>
            </w:pPr>
            <w:r>
              <w:t xml:space="preserve">15 September 2026</w:t>
            </w:r>
          </w:p>
        </w:tc>
        <w:tc>
          <w:tcPr/>
          <w:p>
            <w:pPr>
              <w:pStyle w:val="Compact"/>
              <w:jc w:val="left"/>
            </w:pPr>
            <w:r>
              <w:t xml:space="preserve">25,775,000</w:t>
            </w:r>
          </w:p>
        </w:tc>
        <w:tc>
          <w:tcPr/>
          <w:p>
            <w:pPr>
              <w:pStyle w:val="Compact"/>
              <w:jc w:val="left"/>
            </w:pPr>
            <w:r>
              <w:t xml:space="preserve">25%</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After the expiry date, the Orthodontist reserves the right to revise pricing based on updated material costs or changes in the Vietnam Ho Chi Minh City healthcare fee schedule.</w:t>
      </w:r>
    </w:p>
    <w:p>
      <w:pPr>
        <w:numPr>
          <w:ilvl w:val="0"/>
          <w:numId w:val="1001"/>
        </w:numPr>
        <w:pStyle w:val="Compact"/>
      </w:pPr>
      <w:r>
        <w:t xml:space="preserve">All prices are inclusive of VAT (10%) as mandated by the Vietnam Ministry of Finance. No additional hidden charges will be applied beyond those itemized in this document.</w:t>
      </w:r>
    </w:p>
    <w:p>
      <w:pPr>
        <w:numPr>
          <w:ilvl w:val="0"/>
          <w:numId w:val="1001"/>
        </w:numPr>
        <w:pStyle w:val="Compact"/>
      </w:pPr>
      <w:r>
        <w:t xml:space="preserve">The treating Orthodontist may, at her clinical discretion, recommend additional procedures not listed herein if the patient's condition warrants it. Any such additions will be communicated in writing and require the patient's explicit consent before proceeding.</w:t>
      </w:r>
    </w:p>
    <w:p>
      <w:pPr>
        <w:numPr>
          <w:ilvl w:val="0"/>
          <w:numId w:val="1001"/>
        </w:numPr>
        <w:pStyle w:val="Compact"/>
      </w:pPr>
      <w:r>
        <w:t xml:space="preserve">Appointment cancellations must be made at least forty-eight (48) hours in advance. Late cancellations or no-shows will incur a fee of 500,000 VND per occurrence.</w:t>
      </w:r>
    </w:p>
    <w:p>
      <w:pPr>
        <w:numPr>
          <w:ilvl w:val="0"/>
          <w:numId w:val="1001"/>
        </w:numPr>
        <w:pStyle w:val="Compact"/>
      </w:pPr>
      <w:r>
        <w:t xml:space="preserve">The total treatment duration of approximately twenty-two (22) months is an estimate. The actual timeline may vary depending on the patient's biological response, compliance with elastics and oral hygiene instructions, and the clinical judgment of the Orthodontist.</w:t>
      </w:r>
    </w:p>
    <w:p>
      <w:pPr>
        <w:numPr>
          <w:ilvl w:val="0"/>
          <w:numId w:val="1001"/>
        </w:numPr>
        <w:pStyle w:val="Compact"/>
      </w:pPr>
      <w:r>
        <w:t xml:space="preserve">This Quotation Estimate does not cover general dental treatments (fillings, extractions, periodontal therapy) unless explicitly stated. Such services will be quoted separately by the general dentist on staff.</w:t>
      </w:r>
    </w:p>
    <w:p>
      <w:pPr>
        <w:numPr>
          <w:ilvl w:val="0"/>
          <w:numId w:val="1001"/>
        </w:numPr>
        <w:pStyle w:val="Compact"/>
      </w:pPr>
      <w:r>
        <w:t xml:space="preserve">Payment may be made via bank transfer, cash, or major credit cards. A 2% surcharge applies to credit card transactions exceeding 10,000,000 VND per transaction.</w:t>
      </w:r>
    </w:p>
    <w:p>
      <w:pPr>
        <w:numPr>
          <w:ilvl w:val="0"/>
          <w:numId w:val="1001"/>
        </w:numPr>
        <w:pStyle w:val="Compact"/>
      </w:pPr>
      <w:r>
        <w:t xml:space="preserve">In the event of a dispute, both parties agree to resolve matters amicably. If unresolved, the matter shall be submitted to the Vietnam Ho Chi Minh City People's Court for adjudication under Vietnamese law.</w:t>
      </w:r>
    </w:p>
    <w:p>
      <w:pPr>
        <w:numPr>
          <w:ilvl w:val="0"/>
          <w:numId w:val="1001"/>
        </w:numPr>
        <w:pStyle w:val="Compact"/>
      </w:pPr>
      <w:r>
        <w:t xml:space="preserve">Our clinic operates Monday through Saturday, 8:00 AM to 5:30 PM. Emergency orthodontic consultations are available by phone at +84 28 3822 4567 for patients residing in Vietnam Ho Chi Minh City.</w:t>
      </w:r>
    </w:p>
    <w:p>
      <w:pPr>
        <w:pStyle w:val="FirstParagraph"/>
      </w:pPr>
      <w:r>
        <w:rPr>
          <w:bCs/>
          <w:b/>
        </w:rPr>
        <w:t xml:space="preserve">Important Note:</w:t>
      </w:r>
      <w:r>
        <w:t xml:space="preserve"> </w:t>
      </w:r>
      <w:r>
        <w:t xml:space="preserve">This Quotation Estimate is a good-faith projection of costs based on the current clinical assessment. The final invoice may differ slightly if the Orthodontist determines, during the course of treatment, that the scope of work requires modification. Any such changes will be documented in a supplementary addendum signed by both parties.</w:t>
      </w:r>
    </w:p>
    <w:bookmarkEnd w:id="25"/>
    <w:bookmarkStart w:id="26" w:name="acceptance-and-authorization"/>
    <w:p>
      <w:pPr>
        <w:pStyle w:val="Heading3"/>
      </w:pPr>
      <w:r>
        <w:t xml:space="preserve">5. Acceptance and Authorization</w:t>
      </w:r>
    </w:p>
    <w:p>
      <w:pPr>
        <w:pStyle w:val="FirstParagraph"/>
      </w:pPr>
      <w:r>
        <w:t xml:space="preserve">By signing below, the patient acknowledges that this Quotation Estimate has been reviewed, all terms and conditions have been understood, and the patient consents to proceed with the orthodontic treatment plan as outlined by the Orthodontist at Sai Gon Orthodontic &amp; Dental Center, Vietnam Ho Chi Minh City.</w:t>
      </w:r>
    </w:p>
    <w:p>
      <w:pPr>
        <w:pStyle w:val="BodyText"/>
      </w:pPr>
      <w:r>
        <w:rPr>
          <w:bCs/>
          <w:b/>
        </w:rPr>
        <w:t xml:space="preserve">Patient Signature</w:t>
      </w:r>
      <w:r>
        <w:br/>
      </w:r>
      <w:r>
        <w:t xml:space="preserve">Mr. Nguyen Van Minh</w:t>
      </w:r>
      <w:r>
        <w:br/>
      </w:r>
      <w:r>
        <w:t xml:space="preserve">Date: _______________</w:t>
      </w:r>
    </w:p>
    <w:p>
      <w:pPr>
        <w:pStyle w:val="BodyText"/>
      </w:pPr>
      <w:r>
        <w:rPr>
          <w:bCs/>
          <w:b/>
        </w:rPr>
        <w:t xml:space="preserve">Orthodontist / Clinic Representative</w:t>
      </w:r>
      <w:r>
        <w:br/>
      </w:r>
      <w:r>
        <w:t xml:space="preserve">Dr. Tran Thi Lan</w:t>
      </w:r>
      <w:r>
        <w:br/>
      </w:r>
      <w:r>
        <w:t xml:space="preserve">Date: _______________</w:t>
      </w:r>
    </w:p>
    <w:p>
      <w:pPr>
        <w:pStyle w:val="BodyText"/>
      </w:pPr>
      <w:r>
        <w:t xml:space="preserve">Sai Gon Orthodontic &amp; Dental Center | 128 Nguyen Hue Boulevard, District 1, Vietnam Ho Chi Minh City</w:t>
      </w:r>
      <w:r>
        <w:br/>
      </w:r>
      <w:r>
        <w:t xml:space="preserve">Licensed by the Ho Chi Minh City Department of Health | License No. 0042/HCM-DH</w:t>
      </w:r>
      <w:r>
        <w:br/>
      </w:r>
      <w:r>
        <w:t xml:space="preserve">This Quotation Estimate document is generated electronically and is valid without a physical stamp.</w:t>
      </w:r>
      <w:r>
        <w:br/>
      </w:r>
      <w:r>
        <w:t xml:space="preserve">© 2025 Sai Gon Orthodontic &amp; Dental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Vietnam Ho Chi Minh City</dc:title>
  <dc:creator/>
  <dc:language>en</dc:language>
  <cp:keywords/>
  <dcterms:created xsi:type="dcterms:W3CDTF">2026-10-10T08:12:24Z</dcterms:created>
  <dcterms:modified xsi:type="dcterms:W3CDTF">2026-10-10T08:12:24Z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