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quotation-estimate"/>
    <w:p>
      <w:pPr>
        <w:pStyle w:val="Heading1"/>
      </w:pPr>
      <w:r>
        <w:t xml:space="preserve">Quotation Estimate</w:t>
      </w:r>
    </w:p>
    <w:p>
      <w:pPr>
        <w:pStyle w:val="FirstParagraph"/>
      </w:pPr>
      <w:r>
        <w:rPr>
          <w:bCs/>
          <w:b/>
        </w:rPr>
        <w:t xml:space="preserve">Alexandria Emergency Medical Services (AEMS)</w:t>
      </w:r>
    </w:p>
    <w:p>
      <w:pPr>
        <w:pStyle w:val="BodyText"/>
      </w:pPr>
      <w:r>
        <w:t xml:space="preserve">12 Corniche El-Nil Street, Smouha District, Egypt Alexandria, 21543</w:t>
      </w:r>
    </w:p>
    <w:p>
      <w:pPr>
        <w:pStyle w:val="BodyText"/>
      </w:pPr>
      <w:r>
        <w:t xml:space="preserve">Tel: +20 3 555 1234 | Email: quotations@aems-alexandria.com.eg</w:t>
      </w:r>
    </w:p>
    <w:p>
      <w:pPr>
        <w:pStyle w:val="BodyText"/>
      </w:pPr>
      <w:r>
        <w:t xml:space="preserve">Commercial Registration No. 458721 | Tax ID: 562-883-441</w:t>
      </w:r>
    </w:p>
    <w:bookmarkEnd w:id="20"/>
    <w:p>
      <w:pPr>
        <w:pStyle w:val="BodyText"/>
      </w:pPr>
      <w:r>
        <w:rPr>
          <w:bCs/>
          <w:b/>
        </w:rPr>
        <w:t xml:space="preserve">Quotation No.:</w:t>
      </w:r>
      <w:r>
        <w:t xml:space="preserve"> </w:t>
      </w:r>
      <w:r>
        <w:t xml:space="preserve">QTE-ALEX-2025-0347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Alexandria Port Authority</w:t>
      </w:r>
    </w:p>
    <w:p>
      <w:pPr>
        <w:pStyle w:val="BodyText"/>
      </w:pPr>
      <w:r>
        <w:t xml:space="preserve">This</w:t>
      </w:r>
      <w:r>
        <w:t xml:space="preserve"> </w:t>
      </w:r>
      <w:r>
        <w:t xml:space="preserve">Quotation Estimate</w:t>
      </w:r>
      <w:r>
        <w:t xml:space="preserve"> </w:t>
      </w:r>
      <w:r>
        <w:t xml:space="preserve">is issued by Alexandria Emergency Medical Services (AEMS) in response to the formal request for a dedicated</w:t>
      </w:r>
      <w:r>
        <w:t xml:space="preserve"> </w:t>
      </w:r>
      <w:r>
        <w:t xml:space="preserve">Paramedic</w:t>
      </w:r>
      <w:r>
        <w:t xml:space="preserve"> </w:t>
      </w:r>
      <w:r>
        <w:t xml:space="preserve">service deployment at the Alexandria Port Authority facilities. This document outlines the comprehensive scope of work, associated costs, and contractual terms governing the provision of advanced</w:t>
      </w:r>
      <w:r>
        <w:t xml:space="preserve"> </w:t>
      </w:r>
      <w:r>
        <w:t xml:space="preserve">Paramedic</w:t>
      </w:r>
      <w:r>
        <w:t xml:space="preserve"> </w:t>
      </w:r>
      <w:r>
        <w:t xml:space="preserve">care within the</w:t>
      </w:r>
      <w:r>
        <w:t xml:space="preserve"> </w:t>
      </w:r>
      <w:r>
        <w:t xml:space="preserve">Egypt Alexandria</w:t>
      </w:r>
      <w:r>
        <w:t xml:space="preserve"> </w:t>
      </w:r>
      <w:r>
        <w:t xml:space="preserve">metropolitan area. All pricing is presented in Egyptian Pounds (EGP) and reflects current market rates as of the date of issuance.</w:t>
      </w:r>
    </w:p>
    <w:bookmarkStart w:id="21" w:name="scope-of-services-paramedic-deployment"/>
    <w:p>
      <w:pPr>
        <w:pStyle w:val="Heading2"/>
      </w:pPr>
      <w:r>
        <w:t xml:space="preserve">1. Scope of Services – Paramedic Deployment</w:t>
      </w:r>
    </w:p>
    <w:p>
      <w:pPr>
        <w:pStyle w:val="FirstParagraph"/>
      </w:pPr>
      <w:r>
        <w:t xml:space="preserve">The</w:t>
      </w:r>
      <w:r>
        <w:t xml:space="preserve"> </w:t>
      </w:r>
      <w:r>
        <w:t xml:space="preserve">Paramedic</w:t>
      </w:r>
      <w:r>
        <w:t xml:space="preserve"> </w:t>
      </w:r>
      <w:r>
        <w:t xml:space="preserve">service proposed under this</w:t>
      </w:r>
      <w:r>
        <w:t xml:space="preserve"> </w:t>
      </w:r>
      <w:r>
        <w:t xml:space="preserve">Quotation Estimate</w:t>
      </w:r>
      <w:r>
        <w:t xml:space="preserve"> </w:t>
      </w:r>
      <w:r>
        <w:t xml:space="preserve">encompasses the following operational components, all tailored to the specific medical and emergency needs of the</w:t>
      </w:r>
      <w:r>
        <w:t xml:space="preserve"> </w:t>
      </w:r>
      <w:r>
        <w:t xml:space="preserve">Egypt Alexandria</w:t>
      </w:r>
      <w:r>
        <w:t xml:space="preserve"> </w:t>
      </w:r>
      <w:r>
        <w:t xml:space="preserve">port complex and its surrounding industrial zones:</w:t>
      </w:r>
    </w:p>
    <w:p>
      <w:pPr>
        <w:numPr>
          <w:ilvl w:val="0"/>
          <w:numId w:val="1001"/>
        </w:numPr>
        <w:pStyle w:val="Compact"/>
      </w:pPr>
      <w:r>
        <w:t xml:space="preserve">Deployment of a fully certified</w:t>
      </w:r>
      <w:r>
        <w:t xml:space="preserve"> </w:t>
      </w:r>
      <w:r>
        <w:t xml:space="preserve">Paramedic</w:t>
      </w:r>
      <w:r>
        <w:t xml:space="preserve"> </w:t>
      </w:r>
      <w:r>
        <w:t xml:space="preserve">team (minimum two (2) licensed Paramedics per shift) available on-site for a 24/7 operational coverage period of twelve (12) consecutive months.</w:t>
      </w:r>
    </w:p>
    <w:p>
      <w:pPr>
        <w:numPr>
          <w:ilvl w:val="0"/>
          <w:numId w:val="1001"/>
        </w:numPr>
        <w:pStyle w:val="Compact"/>
      </w:pPr>
      <w:r>
        <w:t xml:space="preserve">Provision of a fully equipped ambulance unit (Type B, ALS-capable) stationed at the Alexandria Port Authority main gate, equipped with defibrillators, oxygen delivery systems, IV pumps, spinal immobilization boards, and advanced airway management kits.</w:t>
      </w:r>
    </w:p>
    <w:p>
      <w:pPr>
        <w:numPr>
          <w:ilvl w:val="0"/>
          <w:numId w:val="1001"/>
        </w:numPr>
        <w:pStyle w:val="Compact"/>
      </w:pPr>
      <w:r>
        <w:t xml:space="preserve">Conduct of quarterly on-site medical assessments and health screening programs for all port workers, dock personnel, and administrative staff within the</w:t>
      </w:r>
      <w:r>
        <w:t xml:space="preserve"> </w:t>
      </w:r>
      <w:r>
        <w:t xml:space="preserve">Egypt Alexandria</w:t>
      </w:r>
      <w:r>
        <w:t xml:space="preserve"> </w:t>
      </w:r>
      <w:r>
        <w:t xml:space="preserve">facility perimeter.</w:t>
      </w:r>
    </w:p>
    <w:p>
      <w:pPr>
        <w:numPr>
          <w:ilvl w:val="0"/>
          <w:numId w:val="1001"/>
        </w:numPr>
        <w:pStyle w:val="Compact"/>
      </w:pPr>
      <w:r>
        <w:t xml:space="preserve">Development and implementation of a site-specific Emergency Medical Response Plan (EMRP) in coordination with Alexandria General Hospital, Alexandria University Hospitals, and the Egyptian Ministry of Health regional emergency network.</w:t>
      </w:r>
    </w:p>
    <w:p>
      <w:pPr>
        <w:numPr>
          <w:ilvl w:val="0"/>
          <w:numId w:val="1001"/>
        </w:numPr>
        <w:pStyle w:val="Compact"/>
      </w:pPr>
      <w:r>
        <w:t xml:space="preserve">Monthly training workshops for port security and operations staff on basic life support (BLS), cardiopulmonary resuscitation (CPR), and initial</w:t>
      </w:r>
      <w:r>
        <w:t xml:space="preserve"> </w:t>
      </w:r>
      <w:r>
        <w:t xml:space="preserve">Paramedic</w:t>
      </w:r>
      <w:r>
        <w:t xml:space="preserve"> </w:t>
      </w:r>
      <w:r>
        <w:t xml:space="preserve">triage protocols.</w:t>
      </w:r>
    </w:p>
    <w:p>
      <w:pPr>
        <w:numPr>
          <w:ilvl w:val="0"/>
          <w:numId w:val="1001"/>
        </w:numPr>
        <w:pStyle w:val="Compact"/>
      </w:pPr>
      <w:r>
        <w:t xml:space="preserve">Coordination with the Alexandria Governorate Emergency Command Center (123) for seamless inter-facility patient transfer and escalation of critical cases.</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Senior Paramedic (12-month contract, 24/7 shift rotation)</w:t>
            </w:r>
          </w:p>
        </w:tc>
        <w:tc>
          <w:tcPr/>
          <w:p>
            <w:pPr>
              <w:pStyle w:val="Compact"/>
              <w:jc w:val="left"/>
            </w:pPr>
            <w:r>
              <w:t xml:space="preserve">Paramedic</w:t>
            </w:r>
          </w:p>
        </w:tc>
        <w:tc>
          <w:tcPr/>
          <w:p>
            <w:pPr>
              <w:pStyle w:val="Compact"/>
              <w:jc w:val="left"/>
            </w:pPr>
            <w:r>
              <w:t xml:space="preserve">4</w:t>
            </w:r>
          </w:p>
        </w:tc>
        <w:tc>
          <w:tcPr/>
          <w:p>
            <w:pPr>
              <w:pStyle w:val="Compact"/>
              <w:jc w:val="left"/>
            </w:pPr>
            <w:r>
              <w:t xml:space="preserve">96,000</w:t>
            </w:r>
          </w:p>
        </w:tc>
        <w:tc>
          <w:tcPr/>
          <w:p>
            <w:pPr>
              <w:pStyle w:val="Compact"/>
              <w:jc w:val="left"/>
            </w:pPr>
            <w:r>
              <w:t xml:space="preserve">384,000</w:t>
            </w:r>
          </w:p>
        </w:tc>
      </w:tr>
      <w:tr>
        <w:tc>
          <w:tcPr/>
          <w:p>
            <w:pPr>
              <w:pStyle w:val="Compact"/>
              <w:jc w:val="left"/>
            </w:pPr>
            <w:r>
              <w:t xml:space="preserve">02</w:t>
            </w:r>
          </w:p>
        </w:tc>
        <w:tc>
          <w:tcPr/>
          <w:p>
            <w:pPr>
              <w:pStyle w:val="Compact"/>
              <w:jc w:val="left"/>
            </w:pPr>
            <w:r>
              <w:t xml:space="preserve">Junior Paramedic / EMT (12-month contract, 24/7 shift rotation)</w:t>
            </w:r>
          </w:p>
        </w:tc>
        <w:tc>
          <w:tcPr/>
          <w:p>
            <w:pPr>
              <w:pStyle w:val="Compact"/>
              <w:jc w:val="left"/>
            </w:pPr>
            <w:r>
              <w:t xml:space="preserve">Paramedic</w:t>
            </w:r>
          </w:p>
        </w:tc>
        <w:tc>
          <w:tcPr/>
          <w:p>
            <w:pPr>
              <w:pStyle w:val="Compact"/>
              <w:jc w:val="left"/>
            </w:pPr>
            <w:r>
              <w:t xml:space="preserve">4</w:t>
            </w:r>
          </w:p>
        </w:tc>
        <w:tc>
          <w:tcPr/>
          <w:p>
            <w:pPr>
              <w:pStyle w:val="Compact"/>
              <w:jc w:val="left"/>
            </w:pPr>
            <w:r>
              <w:t xml:space="preserve">72,000</w:t>
            </w:r>
          </w:p>
        </w:tc>
        <w:tc>
          <w:tcPr/>
          <w:p>
            <w:pPr>
              <w:pStyle w:val="Compact"/>
              <w:jc w:val="left"/>
            </w:pPr>
            <w:r>
              <w:t xml:space="preserve">288,000</w:t>
            </w:r>
          </w:p>
        </w:tc>
      </w:tr>
      <w:tr>
        <w:tc>
          <w:tcPr/>
          <w:p>
            <w:pPr>
              <w:pStyle w:val="Compact"/>
              <w:jc w:val="left"/>
            </w:pPr>
            <w:r>
              <w:t xml:space="preserve">03</w:t>
            </w:r>
          </w:p>
        </w:tc>
        <w:tc>
          <w:tcPr/>
          <w:p>
            <w:pPr>
              <w:pStyle w:val="Compact"/>
              <w:jc w:val="left"/>
            </w:pPr>
            <w:r>
              <w:t xml:space="preserve">ALS Ambulance Unit (Type B) – lease, maintenance, and fuel</w:t>
            </w:r>
          </w:p>
        </w:tc>
        <w:tc>
          <w:tcPr/>
          <w:p>
            <w:pPr>
              <w:pStyle w:val="Compact"/>
              <w:jc w:val="left"/>
            </w:pPr>
            <w:r>
              <w:t xml:space="preserve">Vehicle</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Medical consumables and pharmaceuticals (monthly replenishment)</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45,000</w:t>
            </w:r>
          </w:p>
        </w:tc>
        <w:tc>
          <w:tcPr/>
          <w:p>
            <w:pPr>
              <w:pStyle w:val="Compact"/>
              <w:jc w:val="left"/>
            </w:pPr>
            <w:r>
              <w:t xml:space="preserve">540,000</w:t>
            </w:r>
          </w:p>
        </w:tc>
      </w:tr>
      <w:tr>
        <w:tc>
          <w:tcPr/>
          <w:p>
            <w:pPr>
              <w:pStyle w:val="Compact"/>
              <w:jc w:val="left"/>
            </w:pPr>
            <w:r>
              <w:t xml:space="preserve">05</w:t>
            </w:r>
          </w:p>
        </w:tc>
        <w:tc>
          <w:tcPr/>
          <w:p>
            <w:pPr>
              <w:pStyle w:val="Compact"/>
              <w:jc w:val="left"/>
            </w:pPr>
            <w:r>
              <w:t xml:space="preserve">Quarterly on-site health screening program (up to 500 personnel)</w:t>
            </w:r>
          </w:p>
        </w:tc>
        <w:tc>
          <w:tcPr/>
          <w:p>
            <w:pPr>
              <w:pStyle w:val="Compact"/>
              <w:jc w:val="left"/>
            </w:pPr>
            <w:r>
              <w:t xml:space="preserve">Session</w:t>
            </w:r>
          </w:p>
        </w:tc>
        <w:tc>
          <w:tcPr/>
          <w:p>
            <w:pPr>
              <w:pStyle w:val="Compact"/>
              <w:jc w:val="left"/>
            </w:pPr>
            <w:r>
              <w:t xml:space="preserve">4</w:t>
            </w:r>
          </w:p>
        </w:tc>
        <w:tc>
          <w:tcPr/>
          <w:p>
            <w:pPr>
              <w:pStyle w:val="Compact"/>
              <w:jc w:val="left"/>
            </w:pPr>
            <w:r>
              <w:t xml:space="preserve">38,000</w:t>
            </w:r>
          </w:p>
        </w:tc>
        <w:tc>
          <w:tcPr/>
          <w:p>
            <w:pPr>
              <w:pStyle w:val="Compact"/>
              <w:jc w:val="left"/>
            </w:pPr>
            <w:r>
              <w:t xml:space="preserve">152,000</w:t>
            </w:r>
          </w:p>
        </w:tc>
      </w:tr>
      <w:tr>
        <w:tc>
          <w:tcPr/>
          <w:p>
            <w:pPr>
              <w:pStyle w:val="Compact"/>
              <w:jc w:val="left"/>
            </w:pPr>
            <w:r>
              <w:t xml:space="preserve">06</w:t>
            </w:r>
          </w:p>
        </w:tc>
        <w:tc>
          <w:tcPr/>
          <w:p>
            <w:pPr>
              <w:pStyle w:val="Compact"/>
              <w:jc w:val="left"/>
            </w:pPr>
            <w:r>
              <w:t xml:space="preserve">Monthly BLS/CPR training workshops for port staff</w:t>
            </w:r>
          </w:p>
        </w:tc>
        <w:tc>
          <w:tcPr/>
          <w:p>
            <w:pPr>
              <w:pStyle w:val="Compact"/>
              <w:jc w:val="left"/>
            </w:pPr>
            <w:r>
              <w:t xml:space="preserve">Workshop</w:t>
            </w:r>
          </w:p>
        </w:tc>
        <w:tc>
          <w:tcPr/>
          <w:p>
            <w:pPr>
              <w:pStyle w:val="Compact"/>
              <w:jc w:val="left"/>
            </w:pPr>
            <w:r>
              <w:t xml:space="preserve">12</w:t>
            </w:r>
          </w:p>
        </w:tc>
        <w:tc>
          <w:tcPr/>
          <w:p>
            <w:pPr>
              <w:pStyle w:val="Compact"/>
              <w:jc w:val="left"/>
            </w:pPr>
            <w:r>
              <w:t xml:space="preserve">15,000</w:t>
            </w:r>
          </w:p>
        </w:tc>
        <w:tc>
          <w:tcPr/>
          <w:p>
            <w:pPr>
              <w:pStyle w:val="Compact"/>
              <w:jc w:val="left"/>
            </w:pPr>
            <w:r>
              <w:t xml:space="preserve">180,000</w:t>
            </w:r>
          </w:p>
        </w:tc>
      </w:tr>
      <w:tr>
        <w:tc>
          <w:tcPr/>
          <w:p>
            <w:pPr>
              <w:pStyle w:val="Compact"/>
              <w:jc w:val="left"/>
            </w:pPr>
            <w:r>
              <w:t xml:space="preserve">07</w:t>
            </w:r>
          </w:p>
        </w:tc>
        <w:tc>
          <w:tcPr/>
          <w:p>
            <w:pPr>
              <w:pStyle w:val="Compact"/>
              <w:jc w:val="left"/>
            </w:pPr>
            <w:r>
              <w:t xml:space="preserve">Emergency Medical Response Plan development and annual review</w:t>
            </w:r>
          </w:p>
        </w:tc>
        <w:tc>
          <w:tcPr/>
          <w:p>
            <w:pPr>
              <w:pStyle w:val="Compact"/>
              <w:jc w:val="left"/>
            </w:pPr>
            <w:r>
              <w:t xml:space="preserve">Project</w:t>
            </w:r>
          </w:p>
        </w:tc>
        <w:tc>
          <w:tcPr/>
          <w:p>
            <w:pPr>
              <w:pStyle w:val="Compact"/>
              <w:jc w:val="left"/>
            </w:pPr>
            <w:r>
              <w:t xml:space="preserve">1</w:t>
            </w:r>
          </w:p>
        </w:tc>
        <w:tc>
          <w:tcPr/>
          <w:p>
            <w:pPr>
              <w:pStyle w:val="Compact"/>
              <w:jc w:val="left"/>
            </w:pPr>
            <w:r>
              <w:t xml:space="preserve">65,000</w:t>
            </w:r>
          </w:p>
        </w:tc>
        <w:tc>
          <w:tcPr/>
          <w:p>
            <w:pPr>
              <w:pStyle w:val="Compact"/>
              <w:jc w:val="left"/>
            </w:pPr>
            <w:r>
              <w:t xml:space="preserve">65,000</w:t>
            </w:r>
          </w:p>
        </w:tc>
      </w:tr>
      <w:tr>
        <w:tc>
          <w:tcPr/>
          <w:p>
            <w:pPr>
              <w:pStyle w:val="Compact"/>
              <w:jc w:val="left"/>
            </w:pPr>
            <w:r>
              <w:t xml:space="preserve">08</w:t>
            </w:r>
          </w:p>
        </w:tc>
        <w:tc>
          <w:tcPr/>
          <w:p>
            <w:pPr>
              <w:pStyle w:val="Compact"/>
              <w:jc w:val="left"/>
            </w:pPr>
            <w:r>
              <w:t xml:space="preserve">Communication and dispatch system integration (123 Center link)</w:t>
            </w:r>
          </w:p>
        </w:tc>
        <w:tc>
          <w:tcPr/>
          <w:p>
            <w:pPr>
              <w:pStyle w:val="Compact"/>
              <w:jc w:val="left"/>
            </w:pPr>
            <w:r>
              <w:t xml:space="preserve">Setup</w:t>
            </w:r>
          </w:p>
        </w:tc>
        <w:tc>
          <w:tcPr/>
          <w:p>
            <w:pPr>
              <w:pStyle w:val="Compact"/>
              <w:jc w:val="left"/>
            </w:pPr>
            <w:r>
              <w:t xml:space="preserve">1</w:t>
            </w:r>
          </w:p>
        </w:tc>
        <w:tc>
          <w:tcPr/>
          <w:p>
            <w:pPr>
              <w:pStyle w:val="Compact"/>
              <w:jc w:val="left"/>
            </w:pPr>
            <w:r>
              <w:t xml:space="preserve">42,000</w:t>
            </w:r>
          </w:p>
        </w:tc>
        <w:tc>
          <w:tcPr/>
          <w:p>
            <w:pPr>
              <w:pStyle w:val="Compact"/>
              <w:jc w:val="left"/>
            </w:pPr>
            <w:r>
              <w:t xml:space="preserve">42,000</w:t>
            </w:r>
          </w:p>
        </w:tc>
      </w:tr>
      <w:tr>
        <w:tc>
          <w:tcPr/>
          <w:p>
            <w:pPr>
              <w:pStyle w:val="Compact"/>
              <w:jc w:val="left"/>
            </w:pPr>
            <w:r>
              <w:t xml:space="preserve">09</w:t>
            </w:r>
          </w:p>
        </w:tc>
        <w:tc>
          <w:tcPr/>
          <w:p>
            <w:pPr>
              <w:pStyle w:val="Compact"/>
              <w:jc w:val="left"/>
            </w:pPr>
            <w:r>
              <w:t xml:space="preserve">Administrative supervision and quality assurance reporting</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22,000</w:t>
            </w:r>
          </w:p>
        </w:tc>
        <w:tc>
          <w:tcPr/>
          <w:p>
            <w:pPr>
              <w:pStyle w:val="Compact"/>
              <w:jc w:val="left"/>
            </w:pPr>
            <w:r>
              <w:t xml:space="preserve">264,000</w:t>
            </w:r>
          </w:p>
        </w:tc>
      </w:tr>
      <w:tr>
        <w:tc>
          <w:tcPr/>
          <w:p>
            <w:pPr>
              <w:pStyle w:val="Compact"/>
              <w:jc w:val="left"/>
            </w:pPr>
            <w:r>
              <w:t xml:space="preserve">10</w:t>
            </w:r>
          </w:p>
        </w:tc>
        <w:tc>
          <w:tcPr/>
          <w:p>
            <w:pPr>
              <w:pStyle w:val="Compact"/>
              <w:jc w:val="left"/>
            </w:pPr>
            <w:r>
              <w:t xml:space="preserve">Insurance coverage (professional liability, vehicle, and personnel)</w:t>
            </w:r>
          </w:p>
        </w:tc>
        <w:tc>
          <w:tcPr/>
          <w:p>
            <w:pPr>
              <w:pStyle w:val="Compact"/>
              <w:jc w:val="left"/>
            </w:pPr>
            <w:r>
              <w:t xml:space="preserve">Year</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gridSpan w:val="5"/>
          </w:tcPr>
          <w:p>
            <w:pPr>
              <w:pStyle w:val="Compact"/>
              <w:jc w:val="left"/>
            </w:pPr>
            <w:r>
              <w:t xml:space="preserve">Subtotal</w:t>
            </w:r>
          </w:p>
        </w:tc>
        <w:tc>
          <w:tcPr/>
          <w:p>
            <w:pPr>
              <w:pStyle w:val="Compact"/>
              <w:jc w:val="left"/>
            </w:pPr>
            <w:r>
              <w:t xml:space="preserve">3,305,000</w:t>
            </w:r>
          </w:p>
        </w:tc>
      </w:tr>
      <w:tr>
        <w:tc>
          <w:tcPr>
            <w:gridSpan w:val="5"/>
          </w:tcPr>
          <w:p>
            <w:pPr>
              <w:pStyle w:val="Compact"/>
              <w:jc w:val="left"/>
            </w:pPr>
            <w:r>
              <w:t xml:space="preserve">VAT (14%)</w:t>
            </w:r>
          </w:p>
        </w:tc>
        <w:tc>
          <w:tcPr/>
          <w:p>
            <w:pPr>
              <w:pStyle w:val="Compact"/>
              <w:jc w:val="left"/>
            </w:pPr>
            <w:r>
              <w:t xml:space="preserve">462,700</w:t>
            </w:r>
          </w:p>
        </w:tc>
      </w:tr>
      <w:tr>
        <w:tc>
          <w:tcPr>
            <w:gridSpan w:val="5"/>
          </w:tcPr>
          <w:p>
            <w:pPr>
              <w:pStyle w:val="Compact"/>
              <w:jc w:val="left"/>
            </w:pPr>
            <w:r>
              <w:rPr>
                <w:bCs/>
                <w:b/>
              </w:rPr>
              <w:t xml:space="preserve">Grand Total (EGP)</w:t>
            </w:r>
          </w:p>
        </w:tc>
        <w:tc>
          <w:tcPr/>
          <w:p>
            <w:pPr>
              <w:pStyle w:val="Compact"/>
              <w:jc w:val="left"/>
            </w:pPr>
            <w:r>
              <w:rPr>
                <w:bCs/>
                <w:b/>
              </w:rPr>
              <w:t xml:space="preserve">3,767,700</w:t>
            </w:r>
          </w:p>
        </w:tc>
      </w:tr>
    </w:tbl>
    <w:bookmarkEnd w:id="22"/>
    <w:bookmarkStart w:id="23" w:name="terms-and-conditions"/>
    <w:p>
      <w:pPr>
        <w:pStyle w:val="Heading2"/>
      </w:pPr>
      <w:r>
        <w:t xml:space="preserve">3.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calendar days from the date of issuance. Any acceptance beyond the validity period requires re-confirmation of pricing by AEMS.</w:t>
      </w:r>
    </w:p>
    <w:p>
      <w:pPr>
        <w:numPr>
          <w:ilvl w:val="0"/>
          <w:numId w:val="1002"/>
        </w:numPr>
        <w:pStyle w:val="Compact"/>
      </w:pPr>
      <w:r>
        <w:t xml:space="preserve">All</w:t>
      </w:r>
      <w:r>
        <w:t xml:space="preserve"> </w:t>
      </w:r>
      <w:r>
        <w:t xml:space="preserve">Paramedic</w:t>
      </w:r>
      <w:r>
        <w:t xml:space="preserve"> </w:t>
      </w:r>
      <w:r>
        <w:t xml:space="preserve">personnel deployed under this contract shall hold valid licenses issued by the Egyptian Ministry of Health and the Alexandria Governorate Health Directorate, with current CPR and ACLS certifications.</w:t>
      </w:r>
    </w:p>
    <w:p>
      <w:pPr>
        <w:numPr>
          <w:ilvl w:val="0"/>
          <w:numId w:val="1002"/>
        </w:numPr>
        <w:pStyle w:val="Compact"/>
      </w:pPr>
      <w:r>
        <w:t xml:space="preserve">Payment terms: 30% advance upon contract signing, 40% upon successful deployment and commissioning of the ambulance unit at the Alexandria Port site, and 30% upon completion of the twelve-month service period, subject to satisfactory performance review.</w:t>
      </w:r>
    </w:p>
    <w:p>
      <w:pPr>
        <w:numPr>
          <w:ilvl w:val="0"/>
          <w:numId w:val="1002"/>
        </w:numPr>
        <w:pStyle w:val="Compact"/>
      </w:pPr>
      <w:r>
        <w:t xml:space="preserve">AEMS shall provide monthly operational reports detailing all</w:t>
      </w:r>
      <w:r>
        <w:t xml:space="preserve"> </w:t>
      </w:r>
      <w:r>
        <w:t xml:space="preserve">Paramedic</w:t>
      </w:r>
      <w:r>
        <w:t xml:space="preserve"> </w:t>
      </w:r>
      <w:r>
        <w:t xml:space="preserve">interventions, response times, patient outcomes, and equipment maintenance logs to the Alexandria Port Authority management.</w:t>
      </w:r>
    </w:p>
    <w:p>
      <w:pPr>
        <w:numPr>
          <w:ilvl w:val="0"/>
          <w:numId w:val="1002"/>
        </w:numPr>
        <w:pStyle w:val="Compact"/>
      </w:pPr>
      <w:r>
        <w:t xml:space="preserve">In the event of force majeure (including but not limited to natural disasters, civil unrest, or government-mandated shutdowns in</w:t>
      </w:r>
      <w:r>
        <w:t xml:space="preserve"> </w:t>
      </w:r>
      <w:r>
        <w:t xml:space="preserve">Egypt Alexandria</w:t>
      </w:r>
      <w:r>
        <w:t xml:space="preserve">), either party may suspend obligations without penalty, with a written notice of no fewer than forty-eight (48) hours.</w:t>
      </w:r>
    </w:p>
    <w:p>
      <w:pPr>
        <w:numPr>
          <w:ilvl w:val="0"/>
          <w:numId w:val="1002"/>
        </w:numPr>
        <w:pStyle w:val="Compact"/>
      </w:pPr>
      <w:r>
        <w:t xml:space="preserve">All medical records and patient data generated during the service period shall be handled in strict compliance with Egyptian Law No. 176 of 2018 on Personal Data Protection and the Egyptian Medical Ethics Code.</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a formal service agreement is executed by both parties in writing.</w:t>
      </w:r>
    </w:p>
    <w:p>
      <w:pPr>
        <w:numPr>
          <w:ilvl w:val="0"/>
          <w:numId w:val="1002"/>
        </w:numPr>
        <w:pStyle w:val="Compact"/>
      </w:pPr>
      <w:r>
        <w:t xml:space="preserve">Any disputes arising from this engagement shall be resolved through arbitration in Alexandria, Egypt, in accordance with the Egyptian Arbitration Law No. 27 of 1994.</w:t>
      </w:r>
    </w:p>
    <w:bookmarkEnd w:id="23"/>
    <w:bookmarkStart w:id="24" w:name="acceptance-and-authorization"/>
    <w:p>
      <w:pPr>
        <w:pStyle w:val="Heading2"/>
      </w:pPr>
      <w:r>
        <w:t xml:space="preserve">4. Acceptance and Authorization</w:t>
      </w:r>
    </w:p>
    <w:p>
      <w:pPr>
        <w:pStyle w:val="FirstParagraph"/>
      </w:pPr>
      <w:r>
        <w:rPr>
          <w:bCs/>
          <w:b/>
        </w:rPr>
        <w:t xml:space="preserve">For Alexandria Emergency Medical Services (AEMS)</w:t>
      </w:r>
    </w:p>
    <w:p>
      <w:pPr>
        <w:pStyle w:val="BodyText"/>
      </w:pPr>
      <w:r>
        <w:t xml:space="preserve">Dr. Mahmoud El-Sayed, MD, FRCPC</w:t>
      </w:r>
    </w:p>
    <w:p>
      <w:pPr>
        <w:pStyle w:val="BodyText"/>
      </w:pPr>
      <w:r>
        <w:t xml:space="preserve">Chief Medical Officer &amp; Director of Paramedic Operations</w:t>
      </w:r>
    </w:p>
    <w:p>
      <w:pPr>
        <w:pStyle w:val="BodyText"/>
      </w:pPr>
      <w:r>
        <w:t xml:space="preserve">Signature &amp; Company Seal</w:t>
      </w:r>
    </w:p>
    <w:p>
      <w:pPr>
        <w:pStyle w:val="BodyText"/>
      </w:pPr>
      <w:r>
        <w:rPr>
          <w:bCs/>
          <w:b/>
        </w:rPr>
        <w:t xml:space="preserve">For Alexandria Port Authority</w:t>
      </w:r>
    </w:p>
    <w:p>
      <w:pPr>
        <w:pStyle w:val="BodyText"/>
      </w:pPr>
      <w:r>
        <w:t xml:space="preserve">Eng. Hala Abdel-Rahman</w:t>
      </w:r>
    </w:p>
    <w:p>
      <w:pPr>
        <w:pStyle w:val="BodyText"/>
      </w:pPr>
      <w:r>
        <w:t xml:space="preserve">Director of Operations &amp; Safety</w:t>
      </w:r>
    </w:p>
    <w:p>
      <w:pPr>
        <w:pStyle w:val="BodyText"/>
      </w:pPr>
      <w:r>
        <w:t xml:space="preserve">Signature &amp; Company Seal</w:t>
      </w:r>
    </w:p>
    <w:p>
      <w:pPr>
        <w:pStyle w:val="BodyText"/>
      </w:pPr>
      <w:r>
        <w:t xml:space="preserve">Alexandria Emergency Medical Services (AEMS) | 12 Corniche El-Nil, Smouha, Egypt Alexandria 21543</w:t>
      </w:r>
    </w:p>
    <w:p>
      <w:pPr>
        <w:pStyle w:val="BodyText"/>
      </w:pPr>
      <w:r>
        <w:t xml:space="preserve">This Quotation Estimate document is confidential and intended solely for the named recipient. Unauthorized distribution is prohibited.</w:t>
      </w:r>
    </w:p>
    <w:p>
      <w:pPr>
        <w:pStyle w:val="BodyText"/>
      </w:pPr>
      <w:r>
        <w:t xml:space="preserve">Document Ref: QTE-ALEX-2025-0347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Paramedic Services - Egypt Alexandria</dc:title>
  <dc:creator/>
  <dc:language>en</dc:language>
  <cp:keywords/>
  <dcterms:created xsi:type="dcterms:W3CDTF">2026-10-10T01:57:50Z</dcterms:created>
  <dcterms:modified xsi:type="dcterms:W3CDTF">2026-10-10T01:57:50Z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