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quotation-estimate"/>
    <w:p>
      <w:pPr>
        <w:pStyle w:val="Heading1"/>
      </w:pPr>
      <w:r>
        <w:t xml:space="preserve">Quotation Estimate</w:t>
      </w:r>
    </w:p>
    <w:p>
      <w:pPr>
        <w:pStyle w:val="FirstParagraph"/>
      </w:pPr>
      <w:r>
        <w:t xml:space="preserve">Professional Paramedic Services — Israel Tel Aviv</w:t>
      </w:r>
    </w:p>
    <w:p>
      <w:pPr>
        <w:pStyle w:val="BodyText"/>
      </w:pPr>
      <w:r>
        <w:t xml:space="preserve">Document Ref: QTE-TLV-2025-0472</w:t>
      </w:r>
    </w:p>
    <w:bookmarkEnd w:id="20"/>
    <w:p>
      <w:pPr>
        <w:pStyle w:val="BodyText"/>
      </w:pPr>
      <w:r>
        <w:rPr>
          <w:bCs/>
          <w:b/>
        </w:rPr>
        <w:t xml:space="preserve">Quotation Date:</w:t>
      </w:r>
      <w:r>
        <w:t xml:space="preserve"> </w:t>
      </w:r>
      <w:r>
        <w:t xml:space="preserve">15 June 2025</w:t>
      </w:r>
      <w:r>
        <w:br/>
      </w:r>
      <w:r>
        <w:rPr>
          <w:bCs/>
          <w:b/>
        </w:rPr>
        <w:t xml:space="preserve">Valid Until:</w:t>
      </w:r>
      <w:r>
        <w:t xml:space="preserve"> </w:t>
      </w:r>
      <w:r>
        <w:t xml:space="preserve">15 July 2025</w:t>
      </w:r>
      <w:r>
        <w:br/>
      </w:r>
      <w:r>
        <w:rPr>
          <w:bCs/>
          <w:b/>
        </w:rPr>
        <w:t xml:space="preserve">Quotation No.:</w:t>
      </w:r>
      <w:r>
        <w:t xml:space="preserve"> </w:t>
      </w:r>
      <w:r>
        <w:t xml:space="preserve">QTE-TLV-2025-0472</w:t>
      </w:r>
    </w:p>
    <w:p>
      <w:pPr>
        <w:pStyle w:val="BodyText"/>
      </w:pPr>
      <w:r>
        <w:rPr>
          <w:bCs/>
          <w:b/>
        </w:rPr>
        <w:t xml:space="preserve">Prepared By:</w:t>
      </w:r>
      <w:r>
        <w:t xml:space="preserve"> </w:t>
      </w:r>
      <w:r>
        <w:t xml:space="preserve">MedResponse Israel Ltd.</w:t>
      </w:r>
      <w:r>
        <w:br/>
      </w:r>
      <w:r>
        <w:rPr>
          <w:bCs/>
          <w:b/>
        </w:rPr>
        <w:t xml:space="preserve">Address:</w:t>
      </w:r>
      <w:r>
        <w:t xml:space="preserve"> </w:t>
      </w:r>
      <w:r>
        <w:t xml:space="preserve">42 Dizengoff Street, Tel Aviv, Israel</w:t>
      </w:r>
      <w:r>
        <w:br/>
      </w:r>
      <w:r>
        <w:rPr>
          <w:bCs/>
          <w:b/>
        </w:rPr>
        <w:t xml:space="preserve">Contact:</w:t>
      </w:r>
      <w:r>
        <w:t xml:space="preserve"> </w:t>
      </w:r>
      <w:r>
        <w:t xml:space="preserve">+972-3-555-0142 | ops@medresponse-il.co.il</w:t>
      </w:r>
    </w:p>
    <w:p>
      <w:pPr>
        <w:pStyle w:val="BodyText"/>
      </w:pPr>
      <w:r>
        <w:rPr>
          <w:bCs/>
          <w:b/>
        </w:rPr>
        <w:t xml:space="preserve">Prepared For:</w:t>
      </w:r>
      <w:r>
        <w:t xml:space="preserve"> </w:t>
      </w:r>
      <w:r>
        <w:t xml:space="preserve">[Client Name / Organization]</w:t>
      </w:r>
      <w:r>
        <w:br/>
      </w:r>
      <w:r>
        <w:rPr>
          <w:bCs/>
          <w:b/>
        </w:rPr>
        <w:t xml:space="preserve">Location of Service:</w:t>
      </w:r>
      <w:r>
        <w:t xml:space="preserve"> </w:t>
      </w:r>
      <w:r>
        <w:t xml:space="preserve">Tel Aviv, Israel</w:t>
      </w:r>
      <w:r>
        <w:br/>
      </w:r>
      <w:r>
        <w:rPr>
          <w:bCs/>
          <w:b/>
        </w:rPr>
        <w:t xml:space="preserve">Service Category:</w:t>
      </w:r>
      <w:r>
        <w:t xml:space="preserve"> </w:t>
      </w:r>
      <w:r>
        <w:t xml:space="preserve">Paramedic / Emergency Medical</w:t>
      </w:r>
    </w:p>
    <w:bookmarkStart w:id="21" w:name="purpose-of-this-quotation-estimate"/>
    <w:p>
      <w:pPr>
        <w:pStyle w:val="Heading2"/>
      </w:pPr>
      <w:r>
        <w:t xml:space="preserve">1. Purpose of This Quotation Estimate</w:t>
      </w:r>
    </w:p>
    <w:p>
      <w:pPr>
        <w:pStyle w:val="FirstParagraph"/>
      </w:pPr>
      <w:r>
        <w:t xml:space="preserve">This Quotation Estimate is issued by MedResponse Israel Ltd. to provide a comprehensive and transparent cost breakdown for the deployment of certified Paramedic personnel and associated emergency medical services within the Tel Aviv metropolitan area, Israel. This document serves as a formal pricing proposal for the requested Paramedic services and does not constitute a binding contract until both parties have executed the final service agreement. All figures presented herein are calculated in accordance with the current Israeli Ministry of Health regulatory framework governing emergency medical response in Tel Aviv and the surrounding Greater Tel Aviv region.</w:t>
      </w:r>
    </w:p>
    <w:bookmarkEnd w:id="21"/>
    <w:bookmarkStart w:id="22" w:name="scope-of-paramedic-services"/>
    <w:p>
      <w:pPr>
        <w:pStyle w:val="Heading2"/>
      </w:pPr>
      <w:r>
        <w:t xml:space="preserve">2. Scope of Paramedic Services</w:t>
      </w:r>
    </w:p>
    <w:p>
      <w:pPr>
        <w:pStyle w:val="FirstParagraph"/>
      </w:pPr>
      <w:r>
        <w:t xml:space="preserve">The Paramedic services outlined in this Quotation Estimate encompass a full spectrum of pre-hospital emergency care, advanced life support (ALS), and on-site medical response tailored to the operational requirements of the client. The Paramedic team will be stationed and operational within Tel Aviv, Israel, ensuring rapid response times in compliance with the national standard of no more than eight minutes for emergency dispatch in urban zones. The scope includes, but is not limited to:</w:t>
      </w:r>
    </w:p>
    <w:p>
      <w:pPr>
        <w:numPr>
          <w:ilvl w:val="0"/>
          <w:numId w:val="1001"/>
        </w:numPr>
        <w:pStyle w:val="Compact"/>
      </w:pPr>
      <w:r>
        <w:t xml:space="preserve">Advanced Paramedic response to medical emergencies, trauma incidents, and cardiac events across all districts of Tel Aviv.</w:t>
      </w:r>
    </w:p>
    <w:p>
      <w:pPr>
        <w:numPr>
          <w:ilvl w:val="0"/>
          <w:numId w:val="1001"/>
        </w:numPr>
        <w:pStyle w:val="Compact"/>
      </w:pPr>
      <w:r>
        <w:t xml:space="preserve">Deployment of fully equipped Paramedic ambulances (Type A and Type B) stocked with Israeli Ministry of Health-compliant medical supplies, defibrillators, oxygen systems, and trauma kits.</w:t>
      </w:r>
    </w:p>
    <w:p>
      <w:pPr>
        <w:numPr>
          <w:ilvl w:val="0"/>
          <w:numId w:val="1001"/>
        </w:numPr>
        <w:pStyle w:val="Compact"/>
      </w:pPr>
      <w:r>
        <w:t xml:space="preserve">On-site Paramedic coverage for large-scale public events, corporate functions, and private gatherings held in Tel Aviv, Israel.</w:t>
      </w:r>
    </w:p>
    <w:p>
      <w:pPr>
        <w:numPr>
          <w:ilvl w:val="0"/>
          <w:numId w:val="1001"/>
        </w:numPr>
        <w:pStyle w:val="Compact"/>
      </w:pPr>
      <w:r>
        <w:t xml:space="preserve">Inter-hospital patient transport between medical facilities within the Tel Aviv and central Israel corridor.</w:t>
      </w:r>
    </w:p>
    <w:p>
      <w:pPr>
        <w:numPr>
          <w:ilvl w:val="0"/>
          <w:numId w:val="1001"/>
        </w:numPr>
        <w:pStyle w:val="Compact"/>
      </w:pPr>
      <w:r>
        <w:t xml:space="preserve">Medical escort and monitoring services for patients requiring continuous Paramedic supervision during transit.</w:t>
      </w:r>
    </w:p>
    <w:p>
      <w:pPr>
        <w:numPr>
          <w:ilvl w:val="0"/>
          <w:numId w:val="1001"/>
        </w:numPr>
        <w:pStyle w:val="Compact"/>
      </w:pPr>
      <w:r>
        <w:t xml:space="preserve">Emergency medical consultation and triage support provided by senior Paramedic officers.</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01</w:t>
            </w:r>
          </w:p>
        </w:tc>
        <w:tc>
          <w:tcPr/>
          <w:p>
            <w:pPr>
              <w:pStyle w:val="Compact"/>
              <w:jc w:val="left"/>
            </w:pPr>
            <w:r>
              <w:t xml:space="preserve">Paramedic Emergency Response (ALS Ambulance, 2-person crew) — Tel Aviv urban zone</w:t>
            </w:r>
          </w:p>
        </w:tc>
        <w:tc>
          <w:tcPr/>
          <w:p>
            <w:pPr>
              <w:pStyle w:val="Compact"/>
              <w:jc w:val="left"/>
            </w:pPr>
            <w:r>
              <w:t xml:space="preserve">Per dispatch</w:t>
            </w:r>
          </w:p>
        </w:tc>
        <w:tc>
          <w:tcPr/>
          <w:p>
            <w:pPr>
              <w:pStyle w:val="Compact"/>
              <w:jc w:val="left"/>
            </w:pPr>
            <w:r>
              <w:t xml:space="preserve">120</w:t>
            </w:r>
          </w:p>
        </w:tc>
        <w:tc>
          <w:tcPr/>
          <w:p>
            <w:pPr>
              <w:pStyle w:val="Compact"/>
              <w:jc w:val="left"/>
            </w:pPr>
            <w:r>
              <w:t xml:space="preserve">2,850</w:t>
            </w:r>
          </w:p>
        </w:tc>
        <w:tc>
          <w:tcPr/>
          <w:p>
            <w:pPr>
              <w:pStyle w:val="Compact"/>
              <w:jc w:val="left"/>
            </w:pPr>
            <w:r>
              <w:t xml:space="preserve">342,000</w:t>
            </w:r>
          </w:p>
        </w:tc>
      </w:tr>
      <w:tr>
        <w:tc>
          <w:tcPr/>
          <w:p>
            <w:pPr>
              <w:pStyle w:val="Compact"/>
              <w:jc w:val="left"/>
            </w:pPr>
            <w:r>
              <w:t xml:space="preserve">02</w:t>
            </w:r>
          </w:p>
        </w:tc>
        <w:tc>
          <w:tcPr/>
          <w:p>
            <w:pPr>
              <w:pStyle w:val="Compact"/>
              <w:jc w:val="left"/>
            </w:pPr>
            <w:r>
              <w:t xml:space="preserve">Paramedic On-Site Event Coverage (minimum 4-hour block, 2 Paramedics + 1 EMT)</w:t>
            </w:r>
          </w:p>
        </w:tc>
        <w:tc>
          <w:tcPr/>
          <w:p>
            <w:pPr>
              <w:pStyle w:val="Compact"/>
              <w:jc w:val="left"/>
            </w:pPr>
            <w:r>
              <w:t xml:space="preserve">Per event</w:t>
            </w:r>
          </w:p>
        </w:tc>
        <w:tc>
          <w:tcPr/>
          <w:p>
            <w:pPr>
              <w:pStyle w:val="Compact"/>
              <w:jc w:val="left"/>
            </w:pPr>
            <w:r>
              <w:t xml:space="preserve">8</w:t>
            </w:r>
          </w:p>
        </w:tc>
        <w:tc>
          <w:tcPr/>
          <w:p>
            <w:pPr>
              <w:pStyle w:val="Compact"/>
              <w:jc w:val="left"/>
            </w:pPr>
            <w:r>
              <w:t xml:space="preserve">7,200</w:t>
            </w:r>
          </w:p>
        </w:tc>
        <w:tc>
          <w:tcPr/>
          <w:p>
            <w:pPr>
              <w:pStyle w:val="Compact"/>
              <w:jc w:val="left"/>
            </w:pPr>
            <w:r>
              <w:t xml:space="preserve">57,600</w:t>
            </w:r>
          </w:p>
        </w:tc>
      </w:tr>
      <w:tr>
        <w:tc>
          <w:tcPr/>
          <w:p>
            <w:pPr>
              <w:pStyle w:val="Compact"/>
              <w:jc w:val="left"/>
            </w:pPr>
            <w:r>
              <w:t xml:space="preserve">03</w:t>
            </w:r>
          </w:p>
        </w:tc>
        <w:tc>
          <w:tcPr/>
          <w:p>
            <w:pPr>
              <w:pStyle w:val="Compact"/>
              <w:jc w:val="left"/>
            </w:pPr>
            <w:r>
              <w:t xml:space="preserve">Inter-Hospital Paramedic Transport (Tel Aviv to central Israel, up to 120 km)</w:t>
            </w:r>
          </w:p>
        </w:tc>
        <w:tc>
          <w:tcPr/>
          <w:p>
            <w:pPr>
              <w:pStyle w:val="Compact"/>
              <w:jc w:val="left"/>
            </w:pPr>
            <w:r>
              <w:t xml:space="preserve">Per transfer</w:t>
            </w:r>
          </w:p>
        </w:tc>
        <w:tc>
          <w:tcPr/>
          <w:p>
            <w:pPr>
              <w:pStyle w:val="Compact"/>
              <w:jc w:val="left"/>
            </w:pPr>
            <w:r>
              <w:t xml:space="preserve">25</w:t>
            </w:r>
          </w:p>
        </w:tc>
        <w:tc>
          <w:tcPr/>
          <w:p>
            <w:pPr>
              <w:pStyle w:val="Compact"/>
              <w:jc w:val="left"/>
            </w:pPr>
            <w:r>
              <w:t xml:space="preserve">4,500</w:t>
            </w:r>
          </w:p>
        </w:tc>
        <w:tc>
          <w:tcPr/>
          <w:p>
            <w:pPr>
              <w:pStyle w:val="Compact"/>
              <w:jc w:val="left"/>
            </w:pPr>
            <w:r>
              <w:t xml:space="preserve">112,500</w:t>
            </w:r>
          </w:p>
        </w:tc>
      </w:tr>
      <w:tr>
        <w:tc>
          <w:tcPr/>
          <w:p>
            <w:pPr>
              <w:pStyle w:val="Compact"/>
              <w:jc w:val="left"/>
            </w:pPr>
            <w:r>
              <w:t xml:space="preserve">04</w:t>
            </w:r>
          </w:p>
        </w:tc>
        <w:tc>
          <w:tcPr/>
          <w:p>
            <w:pPr>
              <w:pStyle w:val="Compact"/>
              <w:jc w:val="left"/>
            </w:pPr>
            <w:r>
              <w:t xml:space="preserve">Senior Paramedic Medical Director — Monthly Retainer (Tel Aviv operations)</w:t>
            </w:r>
          </w:p>
        </w:tc>
        <w:tc>
          <w:tcPr/>
          <w:p>
            <w:pPr>
              <w:pStyle w:val="Compact"/>
              <w:jc w:val="left"/>
            </w:pPr>
            <w:r>
              <w:t xml:space="preserve">Per month</w:t>
            </w:r>
          </w:p>
        </w:tc>
        <w:tc>
          <w:tcPr/>
          <w:p>
            <w:pPr>
              <w:pStyle w:val="Compact"/>
              <w:jc w:val="left"/>
            </w:pPr>
            <w:r>
              <w:t xml:space="preserve">6</w:t>
            </w:r>
          </w:p>
        </w:tc>
        <w:tc>
          <w:tcPr/>
          <w:p>
            <w:pPr>
              <w:pStyle w:val="Compact"/>
              <w:jc w:val="left"/>
            </w:pPr>
            <w:r>
              <w:t xml:space="preserve">18,000</w:t>
            </w:r>
          </w:p>
        </w:tc>
        <w:tc>
          <w:tcPr/>
          <w:p>
            <w:pPr>
              <w:pStyle w:val="Compact"/>
              <w:jc w:val="left"/>
            </w:pPr>
            <w:r>
              <w:t xml:space="preserve">108,000</w:t>
            </w:r>
          </w:p>
        </w:tc>
      </w:tr>
      <w:tr>
        <w:tc>
          <w:tcPr/>
          <w:p>
            <w:pPr>
              <w:pStyle w:val="Compact"/>
              <w:jc w:val="left"/>
            </w:pPr>
            <w:r>
              <w:t xml:space="preserve">05</w:t>
            </w:r>
          </w:p>
        </w:tc>
        <w:tc>
          <w:tcPr/>
          <w:p>
            <w:pPr>
              <w:pStyle w:val="Compact"/>
              <w:jc w:val="left"/>
            </w:pPr>
            <w:r>
              <w:t xml:space="preserve">Paramedic Ambulance Standby — 24/7 readiness at Tel Aviv base</w:t>
            </w:r>
          </w:p>
        </w:tc>
        <w:tc>
          <w:tcPr/>
          <w:p>
            <w:pPr>
              <w:pStyle w:val="Compact"/>
              <w:jc w:val="left"/>
            </w:pPr>
            <w:r>
              <w:t xml:space="preserve">Per month</w:t>
            </w:r>
          </w:p>
        </w:tc>
        <w:tc>
          <w:tcPr/>
          <w:p>
            <w:pPr>
              <w:pStyle w:val="Compact"/>
              <w:jc w:val="left"/>
            </w:pPr>
            <w:r>
              <w:t xml:space="preserve">6</w:t>
            </w:r>
          </w:p>
        </w:tc>
        <w:tc>
          <w:tcPr/>
          <w:p>
            <w:pPr>
              <w:pStyle w:val="Compact"/>
              <w:jc w:val="left"/>
            </w:pPr>
            <w:r>
              <w:t xml:space="preserve">12,500</w:t>
            </w:r>
          </w:p>
        </w:tc>
        <w:tc>
          <w:tcPr/>
          <w:p>
            <w:pPr>
              <w:pStyle w:val="Compact"/>
              <w:jc w:val="left"/>
            </w:pPr>
            <w:r>
              <w:t xml:space="preserve">75,000</w:t>
            </w:r>
          </w:p>
        </w:tc>
      </w:tr>
      <w:tr>
        <w:tc>
          <w:tcPr/>
          <w:p>
            <w:pPr>
              <w:pStyle w:val="Compact"/>
              <w:jc w:val="left"/>
            </w:pPr>
            <w:r>
              <w:t xml:space="preserve">06</w:t>
            </w:r>
          </w:p>
        </w:tc>
        <w:tc>
          <w:tcPr/>
          <w:p>
            <w:pPr>
              <w:pStyle w:val="Compact"/>
              <w:jc w:val="left"/>
            </w:pPr>
            <w:r>
              <w:t xml:space="preserve">Consumable Medical Supplies &amp; Restocking (per Israeli regulatory standard)</w:t>
            </w:r>
          </w:p>
        </w:tc>
        <w:tc>
          <w:tcPr/>
          <w:p>
            <w:pPr>
              <w:pStyle w:val="Compact"/>
              <w:jc w:val="left"/>
            </w:pPr>
            <w:r>
              <w:t xml:space="preserve">Per month</w:t>
            </w:r>
          </w:p>
        </w:tc>
        <w:tc>
          <w:tcPr/>
          <w:p>
            <w:pPr>
              <w:pStyle w:val="Compact"/>
              <w:jc w:val="left"/>
            </w:pPr>
            <w:r>
              <w:t xml:space="preserve">6</w:t>
            </w:r>
          </w:p>
        </w:tc>
        <w:tc>
          <w:tcPr/>
          <w:p>
            <w:pPr>
              <w:pStyle w:val="Compact"/>
              <w:jc w:val="left"/>
            </w:pPr>
            <w:r>
              <w:t xml:space="preserve">3,800</w:t>
            </w:r>
          </w:p>
        </w:tc>
        <w:tc>
          <w:tcPr/>
          <w:p>
            <w:pPr>
              <w:pStyle w:val="Compact"/>
              <w:jc w:val="left"/>
            </w:pPr>
            <w:r>
              <w:t xml:space="preserve">22,800</w:t>
            </w:r>
          </w:p>
        </w:tc>
      </w:tr>
      <w:tr>
        <w:tc>
          <w:tcPr/>
          <w:p>
            <w:pPr>
              <w:pStyle w:val="Compact"/>
              <w:jc w:val="left"/>
            </w:pPr>
            <w:r>
              <w:t xml:space="preserve">07</w:t>
            </w:r>
          </w:p>
        </w:tc>
        <w:tc>
          <w:tcPr/>
          <w:p>
            <w:pPr>
              <w:pStyle w:val="Compact"/>
              <w:jc w:val="left"/>
            </w:pPr>
            <w:r>
              <w:t xml:space="preserve">Administrative &amp; Regulatory Compliance (Israeli Ministry of Health reporting, licensing)</w:t>
            </w:r>
          </w:p>
        </w:tc>
        <w:tc>
          <w:tcPr/>
          <w:p>
            <w:pPr>
              <w:pStyle w:val="Compact"/>
              <w:jc w:val="left"/>
            </w:pPr>
            <w:r>
              <w:t xml:space="preserve">Per month</w:t>
            </w:r>
          </w:p>
        </w:tc>
        <w:tc>
          <w:tcPr/>
          <w:p>
            <w:pPr>
              <w:pStyle w:val="Compact"/>
              <w:jc w:val="left"/>
            </w:pPr>
            <w:r>
              <w:t xml:space="preserve">6</w:t>
            </w:r>
          </w:p>
        </w:tc>
        <w:tc>
          <w:tcPr/>
          <w:p>
            <w:pPr>
              <w:pStyle w:val="Compact"/>
              <w:jc w:val="left"/>
            </w:pPr>
            <w:r>
              <w:t xml:space="preserve">2,200</w:t>
            </w:r>
          </w:p>
        </w:tc>
        <w:tc>
          <w:tcPr/>
          <w:p>
            <w:pPr>
              <w:pStyle w:val="Compact"/>
              <w:jc w:val="left"/>
            </w:pPr>
            <w:r>
              <w:t xml:space="preserve">13,200</w:t>
            </w:r>
          </w:p>
        </w:tc>
      </w:tr>
      <w:tr>
        <w:tc>
          <w:tcPr>
            <w:gridSpan w:val="5"/>
          </w:tcPr>
          <w:p>
            <w:pPr>
              <w:pStyle w:val="Compact"/>
              <w:jc w:val="left"/>
            </w:pPr>
            <w:r>
              <w:t xml:space="preserve">Subtotal (ILS)</w:t>
            </w:r>
          </w:p>
        </w:tc>
        <w:tc>
          <w:tcPr/>
          <w:p>
            <w:pPr>
              <w:pStyle w:val="Compact"/>
              <w:jc w:val="left"/>
            </w:pPr>
            <w:r>
              <w:t xml:space="preserve">731,100</w:t>
            </w:r>
          </w:p>
        </w:tc>
      </w:tr>
      <w:tr>
        <w:tc>
          <w:tcPr>
            <w:gridSpan w:val="5"/>
          </w:tcPr>
          <w:p>
            <w:pPr>
              <w:pStyle w:val="Compact"/>
              <w:jc w:val="left"/>
            </w:pPr>
            <w:r>
              <w:t xml:space="preserve">VAT (18% — Israel Standard Rate)</w:t>
            </w:r>
          </w:p>
        </w:tc>
        <w:tc>
          <w:tcPr/>
          <w:p>
            <w:pPr>
              <w:pStyle w:val="Compact"/>
              <w:jc w:val="left"/>
            </w:pPr>
            <w:r>
              <w:t xml:space="preserve">131,598</w:t>
            </w:r>
          </w:p>
        </w:tc>
      </w:tr>
      <w:tr>
        <w:tc>
          <w:tcPr>
            <w:gridSpan w:val="5"/>
          </w:tcPr>
          <w:p>
            <w:pPr>
              <w:pStyle w:val="Compact"/>
              <w:jc w:val="left"/>
            </w:pPr>
            <w:r>
              <w:t xml:space="preserve">Grand Total (ILS)</w:t>
            </w:r>
          </w:p>
        </w:tc>
        <w:tc>
          <w:tcPr/>
          <w:p>
            <w:pPr>
              <w:pStyle w:val="Compact"/>
              <w:jc w:val="left"/>
            </w:pPr>
            <w:r>
              <w:t xml:space="preserve">862,698</w:t>
            </w:r>
          </w:p>
        </w:tc>
      </w:tr>
    </w:tbl>
    <w:p>
      <w:pPr>
        <w:pStyle w:val="BodyText"/>
      </w:pPr>
      <w:r>
        <w:t xml:space="preserve">All prices are quoted in Israeli New Shekels (ILS). Exchange rate reference: 1 USD ≈ 3.75 ILS (as of quotation date). Prices are exclusive of any additional fuel surcharges exceeding 10% of the base rate.</w:t>
      </w:r>
    </w:p>
    <w:bookmarkEnd w:id="23"/>
    <w:bookmarkStart w:id="24" w:name="X0779e75d2cebbe15b98d264f2d3c231543f2482"/>
    <w:p>
      <w:pPr>
        <w:pStyle w:val="Heading2"/>
      </w:pPr>
      <w:r>
        <w:t xml:space="preserve">4. Paramedic Qualifications &amp; Regulatory Compliance</w:t>
      </w:r>
    </w:p>
    <w:p>
      <w:pPr>
        <w:pStyle w:val="FirstParagraph"/>
      </w:pPr>
      <w:r>
        <w:t xml:space="preserve">All Paramedic personnel assigned under this Quotation Estimate hold valid Israeli Ministry of Health Paramedic licenses and have completed the mandatory 1,200-hour advanced Paramedic training program recognized in Israel. Each Paramedic in the Tel Aviv deployment roster maintains current BLS, ACLS, PALS, and ATLS certifications. The Paramedic ambulances are registered and inspected in accordance with Israeli vehicle and medical transport regulations. MedResponse Israel Ltd. operates under a full emergency medical services license issued by the Israeli Ministry of Health, specifically authorized for operations in Tel Aviv and the central district.</w:t>
      </w:r>
    </w:p>
    <w:bookmarkEnd w:id="24"/>
    <w:bookmarkStart w:id="25" w:name="X985eb999f0cfcda5f1af1a675bf0b7c2e0a6c64"/>
    <w:p>
      <w:pPr>
        <w:pStyle w:val="Heading2"/>
      </w:pPr>
      <w:r>
        <w:t xml:space="preserve">5. Terms and Conditions of This Quotation Estimate</w:t>
      </w:r>
    </w:p>
    <w:bookmarkEnd w:id="25"/>
    <w:bookmarkStart w:id="26" w:name="important-terms"/>
    <w:p>
      <w:pPr>
        <w:pStyle w:val="Heading2"/>
      </w:pPr>
      <w:r>
        <w:t xml:space="preserve">Important Terms</w:t>
      </w:r>
    </w:p>
    <w:p>
      <w:pPr>
        <w:numPr>
          <w:ilvl w:val="0"/>
          <w:numId w:val="1002"/>
        </w:numPr>
        <w:pStyle w:val="Compact"/>
      </w:pPr>
      <w:r>
        <w:t xml:space="preserve">This Quotation Estimate is valid for thirty (30) calendar days from the date of issue. After the expiry date, all pricing for Paramedic services in Tel Aviv, Israel, is subject to revision based on operational costs and regulatory changes.</w:t>
      </w:r>
    </w:p>
    <w:p>
      <w:pPr>
        <w:numPr>
          <w:ilvl w:val="0"/>
          <w:numId w:val="1002"/>
        </w:numPr>
        <w:pStyle w:val="Compact"/>
      </w:pPr>
      <w:r>
        <w:t xml:space="preserve">Payment terms: 50% advance deposit upon acceptance of this Quotation Estimate; remaining 50% within fourteen (14) days of invoice issuance. Payment in ILS via bank transfer to the MedResponse Israel Ltd. account.</w:t>
      </w:r>
    </w:p>
    <w:p>
      <w:pPr>
        <w:numPr>
          <w:ilvl w:val="0"/>
          <w:numId w:val="1002"/>
        </w:numPr>
        <w:pStyle w:val="Compact"/>
      </w:pPr>
      <w:r>
        <w:t xml:space="preserve">Cancellation policy: Cancellations of scheduled Paramedic event coverage in Tel Aviv must be submitted no fewer than 72 hours in advance. Emergency dispatch cancellations are non-refundable once the Paramedic unit has been dispatched.</w:t>
      </w:r>
    </w:p>
    <w:p>
      <w:pPr>
        <w:numPr>
          <w:ilvl w:val="0"/>
          <w:numId w:val="1002"/>
        </w:numPr>
        <w:pStyle w:val="Compact"/>
      </w:pPr>
      <w:r>
        <w:t xml:space="preserve">Force majeure: MedResponse Israel Ltd. shall not be liable for service interruptions caused by natural disasters, civil unrest, or government-mandated restrictions affecting operations in Tel Aviv, Israel.</w:t>
      </w:r>
    </w:p>
    <w:p>
      <w:pPr>
        <w:numPr>
          <w:ilvl w:val="0"/>
          <w:numId w:val="1002"/>
        </w:numPr>
        <w:pStyle w:val="Compact"/>
      </w:pPr>
      <w:r>
        <w:t xml:space="preserve">Liability: The Paramedic services are provided in strict adherence to Israeli medical practice standards. MedResponse Israel Ltd. carries comprehensive professional liability insurance with a coverage limit of 5,000,000 ILS per incident.</w:t>
      </w:r>
    </w:p>
    <w:p>
      <w:pPr>
        <w:numPr>
          <w:ilvl w:val="0"/>
          <w:numId w:val="1002"/>
        </w:numPr>
        <w:pStyle w:val="Compact"/>
      </w:pPr>
      <w:r>
        <w:t xml:space="preserve">This Quotation Estimate does not constitute a final contract. A separate Service Level Agreement (SLA) and Master Service Agreement (MSA) will be executed prior to the commencement of Paramedic operations in Tel Aviv.</w:t>
      </w:r>
    </w:p>
    <w:bookmarkEnd w:id="26"/>
    <w:bookmarkStart w:id="27" w:name="acceptance-authorization"/>
    <w:p>
      <w:pPr>
        <w:pStyle w:val="Heading2"/>
      </w:pPr>
      <w:r>
        <w:t xml:space="preserve">6. Acceptance &amp; Authorization</w:t>
      </w:r>
    </w:p>
    <w:p>
      <w:pPr>
        <w:pStyle w:val="FirstParagraph"/>
      </w:pPr>
      <w:r>
        <w:t xml:space="preserve">By signing below, the client acknowledges receipt of this Quotation Estimate for Paramedic services in Tel Aviv, Israel, and agrees to the pricing, scope, and terms outlined herein. This signature authorizes MedResponse Israel Ltd. to proceed with the scheduling and deployment of the Paramedic team as specified.</w:t>
      </w:r>
    </w:p>
    <w:p>
      <w:pPr>
        <w:pStyle w:val="BodyText"/>
      </w:pPr>
      <w:r>
        <w:rPr>
          <w:bCs/>
          <w:b/>
        </w:rPr>
        <w:t xml:space="preserve">For MedResponse Israel Ltd.</w:t>
      </w:r>
      <w:r>
        <w:br/>
      </w:r>
      <w:r>
        <w:t xml:space="preserve">Authorized Signatory — Tel Aviv, Israel</w:t>
      </w:r>
      <w:r>
        <w:br/>
      </w:r>
      <w:r>
        <w:t xml:space="preserve">Name / Title / Date / Signature</w:t>
      </w:r>
    </w:p>
    <w:p>
      <w:pPr>
        <w:pStyle w:val="BodyText"/>
      </w:pPr>
      <w:r>
        <w:rPr>
          <w:bCs/>
          <w:b/>
        </w:rPr>
        <w:t xml:space="preserve">For the Client</w:t>
      </w:r>
      <w:r>
        <w:br/>
      </w:r>
      <w:r>
        <w:t xml:space="preserve">Authorized Representative</w:t>
      </w:r>
      <w:r>
        <w:br/>
      </w:r>
      <w:r>
        <w:t xml:space="preserve">Name / Title / Date / Signature</w:t>
      </w:r>
    </w:p>
    <w:p>
      <w:pPr>
        <w:pStyle w:val="BodyText"/>
      </w:pPr>
      <w:r>
        <w:t xml:space="preserve">© 2025 MedResponse Israel Ltd. — All rights reserved. This Quotation Estimate is a confidential document intended solely for the named recipient. Unauthorized reproduction or distribution is prohibited under Israeli intellectual property law.</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Israel Tel Aviv</dc:title>
  <dc:creator/>
  <dc:language>en</dc:language>
  <cp:keywords/>
  <dcterms:created xsi:type="dcterms:W3CDTF">2026-10-10T07:00:02Z</dcterms:created>
  <dcterms:modified xsi:type="dcterms:W3CDTF">2026-10-10T07:00:02Z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