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quotation-estimate"/>
    <w:p>
      <w:pPr>
        <w:pStyle w:val="Heading1"/>
      </w:pPr>
      <w:r>
        <w:t xml:space="preserve">Quotation Estimate</w:t>
      </w:r>
    </w:p>
    <w:p>
      <w:pPr>
        <w:pStyle w:val="FirstParagraph"/>
      </w:pPr>
      <w:r>
        <w:t xml:space="preserve">Professional Petroleum Engineer Services</w:t>
      </w:r>
    </w:p>
    <w:p>
      <w:pPr>
        <w:pStyle w:val="BodyText"/>
      </w:pPr>
      <w:r>
        <w:t xml:space="preserve">Prepared for Operations in Brazil Brasília</w:t>
      </w:r>
    </w:p>
    <w:p>
      <w:pPr>
        <w:pStyle w:val="BodyText"/>
      </w:pPr>
      <w:r>
        <w:t xml:space="preserve">Document Reference: QE-PE-BR-2025-0047 | Classification: Commercial</w:t>
      </w:r>
    </w:p>
    <w:bookmarkEnd w:id="20"/>
    <w:p>
      <w:pPr>
        <w:pStyle w:val="BodyText"/>
      </w:pPr>
      <w:r>
        <w:rPr>
          <w:bCs/>
          <w:b/>
        </w:rPr>
        <w:t xml:space="preserve">Date of Issue:</w:t>
      </w:r>
      <w:r>
        <w:t xml:space="preserve"> </w:t>
      </w:r>
      <w:r>
        <w:t xml:space="preserve">15 June 2025</w:t>
      </w:r>
      <w:r>
        <w:br/>
      </w:r>
      <w:r>
        <w:rPr>
          <w:bCs/>
          <w:b/>
        </w:rPr>
        <w:t xml:space="preserve">Quotation Valid Until:</w:t>
      </w:r>
      <w:r>
        <w:t xml:space="preserve"> </w:t>
      </w:r>
      <w:r>
        <w:t xml:space="preserve">15 September 2025</w:t>
      </w:r>
      <w:r>
        <w:br/>
      </w:r>
      <w:r>
        <w:rPr>
          <w:bCs/>
          <w:b/>
        </w:rPr>
        <w:t xml:space="preserve">Currency:</w:t>
      </w:r>
      <w:r>
        <w:t xml:space="preserve"> </w:t>
      </w:r>
      <w:r>
        <w:t xml:space="preserve">Brazilian Real (BRL) / USD</w:t>
      </w:r>
    </w:p>
    <w:p>
      <w:pPr>
        <w:pStyle w:val="BodyText"/>
      </w:pPr>
      <w:r>
        <w:rPr>
          <w:bCs/>
          <w:b/>
        </w:rPr>
        <w:t xml:space="preserve">Prepared By:</w:t>
      </w:r>
      <w:r>
        <w:t xml:space="preserve"> </w:t>
      </w:r>
      <w:r>
        <w:t xml:space="preserve">PetroEng Solutions Ltda.</w:t>
      </w:r>
      <w:r>
        <w:br/>
      </w:r>
      <w:r>
        <w:rPr>
          <w:bCs/>
          <w:b/>
        </w:rPr>
        <w:t xml:space="preserve">Contact:</w:t>
      </w:r>
      <w:r>
        <w:t xml:space="preserve"> </w:t>
      </w:r>
      <w:r>
        <w:t xml:space="preserve">commercial@petroengsolutions.com.br</w:t>
      </w:r>
      <w:r>
        <w:br/>
      </w:r>
      <w:r>
        <w:rPr>
          <w:bCs/>
          <w:b/>
        </w:rPr>
        <w:t xml:space="preserve">Phone:</w:t>
      </w:r>
      <w:r>
        <w:t xml:space="preserve"> </w:t>
      </w:r>
      <w:r>
        <w:t xml:space="preserve">+55 (61) 3344-7890</w:t>
      </w:r>
    </w:p>
    <w:p>
      <w:pPr>
        <w:pStyle w:val="BodyText"/>
      </w:pPr>
      <w:r>
        <w:t xml:space="preserve">1. Parties Involved</w:t>
      </w:r>
    </w:p>
    <w:bookmarkStart w:id="21" w:name="service-provider"/>
    <w:p>
      <w:pPr>
        <w:pStyle w:val="Heading3"/>
      </w:pPr>
      <w:r>
        <w:t xml:space="preserve">Service Provider</w:t>
      </w:r>
    </w:p>
    <w:p>
      <w:pPr>
        <w:pStyle w:val="FirstParagraph"/>
      </w:pPr>
      <w:r>
        <w:rPr>
          <w:bCs/>
          <w:b/>
        </w:rPr>
        <w:t xml:space="preserve">Company:</w:t>
      </w:r>
      <w:r>
        <w:t xml:space="preserve"> </w:t>
      </w:r>
      <w:r>
        <w:t xml:space="preserve">PetroEng Solutions Ltda.</w:t>
      </w:r>
    </w:p>
    <w:p>
      <w:pPr>
        <w:pStyle w:val="BodyText"/>
      </w:pPr>
      <w:r>
        <w:rPr>
          <w:bCs/>
          <w:b/>
        </w:rPr>
        <w:t xml:space="preserve">CNPJ:</w:t>
      </w:r>
      <w:r>
        <w:t xml:space="preserve"> </w:t>
      </w:r>
      <w:r>
        <w:t xml:space="preserve">12.345.678/0001-90</w:t>
      </w:r>
    </w:p>
    <w:p>
      <w:pPr>
        <w:pStyle w:val="BodyText"/>
      </w:pPr>
      <w:r>
        <w:rPr>
          <w:bCs/>
          <w:b/>
        </w:rPr>
        <w:t xml:space="preserve">Address:</w:t>
      </w:r>
      <w:r>
        <w:t xml:space="preserve"> </w:t>
      </w:r>
      <w:r>
        <w:t xml:space="preserve">Setor Comercial Sul, Quadra 04, Bloco B, Sala 1200, Brasília – DF, CEP 70304-900, Brazil</w:t>
      </w:r>
    </w:p>
    <w:p>
      <w:pPr>
        <w:pStyle w:val="BodyText"/>
      </w:pPr>
      <w:r>
        <w:rPr>
          <w:bCs/>
          <w:b/>
        </w:rPr>
        <w:t xml:space="preserve">Representative:</w:t>
      </w:r>
      <w:r>
        <w:t xml:space="preserve"> </w:t>
      </w:r>
      <w:r>
        <w:t xml:space="preserve">Eng. Ricardo Almeida, P.Eng.</w:t>
      </w:r>
    </w:p>
    <w:bookmarkEnd w:id="21"/>
    <w:bookmarkStart w:id="22" w:name="client-requesting-party"/>
    <w:p>
      <w:pPr>
        <w:pStyle w:val="Heading3"/>
      </w:pPr>
      <w:r>
        <w:t xml:space="preserve">Client / Requesting Party</w:t>
      </w:r>
    </w:p>
    <w:p>
      <w:pPr>
        <w:pStyle w:val="FirstParagraph"/>
      </w:pPr>
      <w:r>
        <w:rPr>
          <w:bCs/>
          <w:b/>
        </w:rPr>
        <w:t xml:space="preserve">Company:</w:t>
      </w:r>
      <w:r>
        <w:t xml:space="preserve"> </w:t>
      </w:r>
      <w:r>
        <w:t xml:space="preserve">[Client Name to be Inserted]</w:t>
      </w:r>
    </w:p>
    <w:p>
      <w:pPr>
        <w:pStyle w:val="BodyText"/>
      </w:pPr>
      <w:r>
        <w:rPr>
          <w:bCs/>
          <w:b/>
        </w:rPr>
        <w:t xml:space="preserve">CNPJ/CPF:</w:t>
      </w:r>
      <w:r>
        <w:t xml:space="preserve"> </w:t>
      </w:r>
      <w:r>
        <w:t xml:space="preserve">[To be Confirmed]</w:t>
      </w:r>
    </w:p>
    <w:p>
      <w:pPr>
        <w:pStyle w:val="BodyText"/>
      </w:pPr>
      <w:r>
        <w:rPr>
          <w:bCs/>
          <w:b/>
        </w:rPr>
        <w:t xml:space="preserve">Address:</w:t>
      </w:r>
      <w:r>
        <w:t xml:space="preserve"> </w:t>
      </w:r>
      <w:r>
        <w:t xml:space="preserve">[Client Address, Brazil Brasília or field location]</w:t>
      </w:r>
    </w:p>
    <w:p>
      <w:pPr>
        <w:pStyle w:val="BodyText"/>
      </w:pPr>
      <w:r>
        <w:rPr>
          <w:bCs/>
          <w:b/>
        </w:rPr>
        <w:t xml:space="preserve">Project Reference:</w:t>
      </w:r>
      <w:r>
        <w:t xml:space="preserve"> </w:t>
      </w:r>
      <w:r>
        <w:t xml:space="preserve">[Project Code]</w:t>
      </w:r>
    </w:p>
    <w:bookmarkEnd w:id="22"/>
    <w:p>
      <w:pPr>
        <w:pStyle w:val="BodyText"/>
      </w:pPr>
      <w:r>
        <w:t xml:space="preserve">2. Scope of Work – Petroleum Engineer Services in Brazil Brasília</w:t>
      </w:r>
    </w:p>
    <w:p>
      <w:pPr>
        <w:pStyle w:val="BodyText"/>
      </w:pPr>
      <w:r>
        <w:t xml:space="preserve">This</w:t>
      </w:r>
      <w:r>
        <w:t xml:space="preserve"> </w:t>
      </w:r>
      <w:r>
        <w:t xml:space="preserve">Quotation Estimate</w:t>
      </w:r>
      <w:r>
        <w:t xml:space="preserve"> </w:t>
      </w:r>
      <w:r>
        <w:t xml:space="preserve">is issued by PetroEng Solutions Ltda. to provide comprehensive</w:t>
      </w:r>
      <w:r>
        <w:t xml:space="preserve"> </w:t>
      </w:r>
      <w:r>
        <w:t xml:space="preserve">Petroleum Engineer</w:t>
      </w:r>
      <w:r>
        <w:t xml:space="preserve"> </w:t>
      </w:r>
      <w:r>
        <w:t xml:space="preserve">consulting and operational support services for the client's upstream and midstream petroleum operations. All professional services described herein shall be executed in accordance with the technical standards established by the National Agency of Petroleum, Natural Gas and Biofuels (ANP) and the applicable regulations of the Federal District of</w:t>
      </w:r>
      <w:r>
        <w:t xml:space="preserve"> </w:t>
      </w:r>
      <w:r>
        <w:t xml:space="preserve">Brazil Brasília</w:t>
      </w:r>
      <w:r>
        <w:t xml:space="preserve">, as well as international best practices in the petroleum industry.</w:t>
      </w:r>
    </w:p>
    <w:p>
      <w:pPr>
        <w:pStyle w:val="BodyText"/>
      </w:pPr>
      <w:r>
        <w:t xml:space="preserve">The scope encompasses the following key deliverables and activities:</w:t>
      </w:r>
    </w:p>
    <w:p>
      <w:pPr>
        <w:numPr>
          <w:ilvl w:val="0"/>
          <w:numId w:val="1001"/>
        </w:numPr>
        <w:pStyle w:val="Compact"/>
      </w:pPr>
      <w:r>
        <w:rPr>
          <w:bCs/>
          <w:b/>
        </w:rPr>
        <w:t xml:space="preserve">Reservoir Engineering Analysis:</w:t>
      </w:r>
      <w:r>
        <w:t xml:space="preserve"> </w:t>
      </w:r>
      <w:r>
        <w:t xml:space="preserve">Detailed characterization, simulation, and performance evaluation of hydrocarbon reservoirs, including well test interpretation, material balance studies, and production forecasting for assets located in the Cerrado Basin and surrounding regions accessible from the Brazil Brasília operational hub.</w:t>
      </w:r>
    </w:p>
    <w:p>
      <w:pPr>
        <w:numPr>
          <w:ilvl w:val="0"/>
          <w:numId w:val="1001"/>
        </w:numPr>
        <w:pStyle w:val="Compact"/>
      </w:pPr>
      <w:r>
        <w:rPr>
          <w:bCs/>
          <w:b/>
        </w:rPr>
        <w:t xml:space="preserve">Drilling Engineering Support:</w:t>
      </w:r>
      <w:r>
        <w:t xml:space="preserve"> </w:t>
      </w:r>
      <w:r>
        <w:t xml:space="preserve">Review and optimization of drilling programs, wellbore stability assessments, casing design verification, and real-time technical advisory during drilling operations.</w:t>
      </w:r>
    </w:p>
    <w:p>
      <w:pPr>
        <w:numPr>
          <w:ilvl w:val="0"/>
          <w:numId w:val="1001"/>
        </w:numPr>
        <w:pStyle w:val="Compact"/>
      </w:pPr>
      <w:r>
        <w:rPr>
          <w:bCs/>
          <w:b/>
        </w:rPr>
        <w:t xml:space="preserve">Production Engineering:</w:t>
      </w:r>
      <w:r>
        <w:t xml:space="preserve"> </w:t>
      </w:r>
      <w:r>
        <w:t xml:space="preserve">Development of artificial lift system selection, surface facility design reviews, flow assurance studies, and production optimization strategies.</w:t>
      </w:r>
    </w:p>
    <w:p>
      <w:pPr>
        <w:numPr>
          <w:ilvl w:val="0"/>
          <w:numId w:val="1001"/>
        </w:numPr>
        <w:pStyle w:val="Compact"/>
      </w:pPr>
      <w:r>
        <w:rPr>
          <w:bCs/>
          <w:b/>
        </w:rPr>
        <w:t xml:space="preserve">Technical Due Diligence:</w:t>
      </w:r>
      <w:r>
        <w:t xml:space="preserve"> </w:t>
      </w:r>
      <w:r>
        <w:t xml:space="preserve">Independent engineering assessment of petroleum assets, including geological and geophysical data review, reserve estimation (2P, 3P), and risk-adjusted NPV calculations for potential acquisitions or divestitures.</w:t>
      </w:r>
    </w:p>
    <w:p>
      <w:pPr>
        <w:numPr>
          <w:ilvl w:val="0"/>
          <w:numId w:val="1001"/>
        </w:numPr>
        <w:pStyle w:val="Compact"/>
      </w:pPr>
      <w:r>
        <w:rPr>
          <w:bCs/>
          <w:b/>
        </w:rPr>
        <w:t xml:space="preserve">Regulatory Compliance Advisory:</w:t>
      </w:r>
      <w:r>
        <w:t xml:space="preserve"> </w:t>
      </w:r>
      <w:r>
        <w:t xml:space="preserve">Guidance on ANP licensing requirements, environmental permits (IBAMA), and operational compliance specific to the Brazil Brasília jurisdiction and the Federal District regulatory framework.</w:t>
      </w:r>
    </w:p>
    <w:p>
      <w:pPr>
        <w:numPr>
          <w:ilvl w:val="0"/>
          <w:numId w:val="1001"/>
        </w:numPr>
        <w:pStyle w:val="Compact"/>
      </w:pPr>
      <w:r>
        <w:rPr>
          <w:bCs/>
          <w:b/>
        </w:rPr>
        <w:t xml:space="preserve">Project Management &amp; Reporting:</w:t>
      </w:r>
      <w:r>
        <w:t xml:space="preserve"> </w:t>
      </w:r>
      <w:r>
        <w:t xml:space="preserve">Monthly technical progress reports, quarterly performance reviews, and final project deliverables submitted to the client's project management office in Brazil Brasília.</w:t>
      </w:r>
    </w:p>
    <w:p>
      <w:pPr>
        <w:pStyle w:val="FirstParagraph"/>
      </w:pPr>
      <w:r>
        <w:t xml:space="preserve">3. Cost Breakdown – Quotation Estimate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(BRL)</w:t>
            </w:r>
          </w:p>
        </w:tc>
        <w:tc>
          <w:tcPr/>
          <w:p>
            <w:pPr>
              <w:pStyle w:val="Compact"/>
              <w:jc w:val="left"/>
            </w:pPr>
            <w:r>
              <w:t xml:space="preserve">Quantity</w:t>
            </w:r>
          </w:p>
        </w:tc>
        <w:tc>
          <w:tcPr/>
          <w:p>
            <w:pPr>
              <w:pStyle w:val="Compact"/>
              <w:jc w:val="left"/>
            </w:pPr>
            <w:r>
              <w:t xml:space="preserve">Subtotal (BRL)</w:t>
            </w:r>
          </w:p>
        </w:tc>
      </w:tr>
      <w:tr>
        <w:tc>
          <w:tcPr/>
          <w:p>
            <w:pPr>
              <w:pStyle w:val="Compact"/>
              <w:jc w:val="left"/>
            </w:pPr>
            <w:r>
              <w:t xml:space="preserve">1</w:t>
            </w:r>
          </w:p>
        </w:tc>
        <w:tc>
          <w:tcPr/>
          <w:p>
            <w:pPr>
              <w:pStyle w:val="Compact"/>
              <w:jc w:val="left"/>
            </w:pPr>
            <w:r>
              <w:t xml:space="preserve">Senior Petroleum Engineer – Reservoir Analysis &amp; Simulation</w:t>
            </w:r>
          </w:p>
        </w:tc>
        <w:tc>
          <w:tcPr/>
          <w:p>
            <w:pPr>
              <w:pStyle w:val="Compact"/>
              <w:jc w:val="left"/>
            </w:pPr>
            <w:r>
              <w:t xml:space="preserve">3 months</w:t>
            </w:r>
          </w:p>
        </w:tc>
        <w:tc>
          <w:tcPr/>
          <w:p>
            <w:pPr>
              <w:pStyle w:val="Compact"/>
              <w:jc w:val="left"/>
            </w:pPr>
            <w:r>
              <w:t xml:space="preserve">R$ 18,500.00</w:t>
            </w:r>
          </w:p>
        </w:tc>
        <w:tc>
          <w:tcPr/>
          <w:p>
            <w:pPr>
              <w:pStyle w:val="Compact"/>
              <w:jc w:val="left"/>
            </w:pPr>
            <w:r>
              <w:t xml:space="preserve">3 (months)</w:t>
            </w:r>
          </w:p>
        </w:tc>
        <w:tc>
          <w:tcPr/>
          <w:p>
            <w:pPr>
              <w:pStyle w:val="Compact"/>
              <w:jc w:val="left"/>
            </w:pPr>
            <w:r>
              <w:t xml:space="preserve">R$ 55,500.00</w:t>
            </w:r>
          </w:p>
        </w:tc>
      </w:tr>
      <w:tr>
        <w:tc>
          <w:tcPr/>
          <w:p>
            <w:pPr>
              <w:pStyle w:val="Compact"/>
              <w:jc w:val="left"/>
            </w:pPr>
            <w:r>
              <w:t xml:space="preserve">2</w:t>
            </w:r>
          </w:p>
        </w:tc>
        <w:tc>
          <w:tcPr/>
          <w:p>
            <w:pPr>
              <w:pStyle w:val="Compact"/>
              <w:jc w:val="left"/>
            </w:pPr>
            <w:r>
              <w:t xml:space="preserve">Drilling Engineer – Well Design Review &amp; Advisory</w:t>
            </w:r>
          </w:p>
        </w:tc>
        <w:tc>
          <w:tcPr/>
          <w:p>
            <w:pPr>
              <w:pStyle w:val="Compact"/>
              <w:jc w:val="left"/>
            </w:pPr>
            <w:r>
              <w:t xml:space="preserve">2 months</w:t>
            </w:r>
          </w:p>
        </w:tc>
        <w:tc>
          <w:tcPr/>
          <w:p>
            <w:pPr>
              <w:pStyle w:val="Compact"/>
              <w:jc w:val="left"/>
            </w:pPr>
            <w:r>
              <w:t xml:space="preserve">R$ 16,200.00</w:t>
            </w:r>
          </w:p>
        </w:tc>
        <w:tc>
          <w:tcPr/>
          <w:p>
            <w:pPr>
              <w:pStyle w:val="Compact"/>
              <w:jc w:val="left"/>
            </w:pPr>
            <w:r>
              <w:t xml:space="preserve">2 (months)</w:t>
            </w:r>
          </w:p>
        </w:tc>
        <w:tc>
          <w:tcPr/>
          <w:p>
            <w:pPr>
              <w:pStyle w:val="Compact"/>
              <w:jc w:val="left"/>
            </w:pPr>
            <w:r>
              <w:t xml:space="preserve">R$ 32,400.00</w:t>
            </w:r>
          </w:p>
        </w:tc>
      </w:tr>
      <w:tr>
        <w:tc>
          <w:tcPr/>
          <w:p>
            <w:pPr>
              <w:pStyle w:val="Compact"/>
              <w:jc w:val="left"/>
            </w:pPr>
            <w:r>
              <w:t xml:space="preserve">3</w:t>
            </w:r>
          </w:p>
        </w:tc>
        <w:tc>
          <w:tcPr/>
          <w:p>
            <w:pPr>
              <w:pStyle w:val="Compact"/>
              <w:jc w:val="left"/>
            </w:pPr>
            <w:r>
              <w:t xml:space="preserve">Production Engineer – Flow Assurance &amp; Optimization</w:t>
            </w:r>
          </w:p>
        </w:tc>
        <w:tc>
          <w:tcPr/>
          <w:p>
            <w:pPr>
              <w:pStyle w:val="Compact"/>
              <w:jc w:val="left"/>
            </w:pPr>
            <w:r>
              <w:t xml:space="preserve">3 months</w:t>
            </w:r>
          </w:p>
        </w:tc>
        <w:tc>
          <w:tcPr/>
          <w:p>
            <w:pPr>
              <w:pStyle w:val="Compact"/>
              <w:jc w:val="left"/>
            </w:pPr>
            <w:r>
              <w:t xml:space="preserve">R$ 15,800.00</w:t>
            </w:r>
          </w:p>
        </w:tc>
        <w:tc>
          <w:tcPr/>
          <w:p>
            <w:pPr>
              <w:pStyle w:val="Compact"/>
              <w:jc w:val="left"/>
            </w:pPr>
            <w:r>
              <w:t xml:space="preserve">3 (months)</w:t>
            </w:r>
          </w:p>
        </w:tc>
        <w:tc>
          <w:tcPr/>
          <w:p>
            <w:pPr>
              <w:pStyle w:val="Compact"/>
              <w:jc w:val="left"/>
            </w:pPr>
            <w:r>
              <w:t xml:space="preserve">R$ 47,400.00</w:t>
            </w:r>
          </w:p>
        </w:tc>
      </w:tr>
      <w:tr>
        <w:tc>
          <w:tcPr/>
          <w:p>
            <w:pPr>
              <w:pStyle w:val="Compact"/>
              <w:jc w:val="left"/>
            </w:pPr>
            <w:r>
              <w:t xml:space="preserve">4</w:t>
            </w:r>
          </w:p>
        </w:tc>
        <w:tc>
          <w:tcPr/>
          <w:p>
            <w:pPr>
              <w:pStyle w:val="Compact"/>
              <w:jc w:val="left"/>
            </w:pPr>
            <w:r>
              <w:t xml:space="preserve">Technical Due Diligence – Asset Valuation &amp; Reserve Estimation</w:t>
            </w:r>
          </w:p>
        </w:tc>
        <w:tc>
          <w:tcPr/>
          <w:p>
            <w:pPr>
              <w:pStyle w:val="Compact"/>
              <w:jc w:val="left"/>
            </w:pPr>
            <w:r>
              <w:t xml:space="preserve">1 month</w:t>
            </w:r>
          </w:p>
        </w:tc>
        <w:tc>
          <w:tcPr/>
          <w:p>
            <w:pPr>
              <w:pStyle w:val="Compact"/>
              <w:jc w:val="left"/>
            </w:pPr>
            <w:r>
              <w:t xml:space="preserve">R$ 42,000.00</w:t>
            </w:r>
          </w:p>
        </w:tc>
        <w:tc>
          <w:tcPr/>
          <w:p>
            <w:pPr>
              <w:pStyle w:val="Compact"/>
              <w:jc w:val="left"/>
            </w:pPr>
            <w:r>
              <w:t xml:space="preserve">1 (lump sum)</w:t>
            </w:r>
          </w:p>
        </w:tc>
        <w:tc>
          <w:tcPr/>
          <w:p>
            <w:pPr>
              <w:pStyle w:val="Compact"/>
              <w:jc w:val="left"/>
            </w:pPr>
            <w:r>
              <w:t xml:space="preserve">R$ 42,000.00</w:t>
            </w:r>
          </w:p>
        </w:tc>
      </w:tr>
      <w:tr>
        <w:tc>
          <w:tcPr/>
          <w:p>
            <w:pPr>
              <w:pStyle w:val="Compact"/>
              <w:jc w:val="left"/>
            </w:pPr>
            <w:r>
              <w:t xml:space="preserve">5</w:t>
            </w:r>
          </w:p>
        </w:tc>
        <w:tc>
          <w:tcPr/>
          <w:p>
            <w:pPr>
              <w:pStyle w:val="Compact"/>
              <w:jc w:val="left"/>
            </w:pPr>
            <w:r>
              <w:t xml:space="preserve">Regulatory &amp; ANP Compliance Advisory (Brazil Brasília)</w:t>
            </w:r>
          </w:p>
        </w:tc>
        <w:tc>
          <w:tcPr/>
          <w:p>
            <w:pPr>
              <w:pStyle w:val="Compact"/>
              <w:jc w:val="left"/>
            </w:pPr>
            <w:r>
              <w:t xml:space="preserve">Ongoing</w:t>
            </w:r>
          </w:p>
        </w:tc>
        <w:tc>
          <w:tcPr/>
          <w:p>
            <w:pPr>
              <w:pStyle w:val="Compact"/>
              <w:jc w:val="left"/>
            </w:pPr>
            <w:r>
              <w:t xml:space="preserve">R$ 8,500.00</w:t>
            </w:r>
          </w:p>
        </w:tc>
        <w:tc>
          <w:tcPr/>
          <w:p>
            <w:pPr>
              <w:pStyle w:val="Compact"/>
              <w:jc w:val="left"/>
            </w:pPr>
            <w:r>
              <w:t xml:space="preserve">6 (months)</w:t>
            </w:r>
          </w:p>
        </w:tc>
        <w:tc>
          <w:tcPr/>
          <w:p>
            <w:pPr>
              <w:pStyle w:val="Compact"/>
              <w:jc w:val="left"/>
            </w:pPr>
            <w:r>
              <w:t xml:space="preserve">R$ 51,000.00</w:t>
            </w:r>
          </w:p>
        </w:tc>
      </w:tr>
      <w:tr>
        <w:tc>
          <w:tcPr/>
          <w:p>
            <w:pPr>
              <w:pStyle w:val="Compact"/>
              <w:jc w:val="left"/>
            </w:pPr>
            <w:r>
              <w:t xml:space="preserve">6</w:t>
            </w:r>
          </w:p>
        </w:tc>
        <w:tc>
          <w:tcPr/>
          <w:p>
            <w:pPr>
              <w:pStyle w:val="Compact"/>
              <w:jc w:val="left"/>
            </w:pPr>
            <w:r>
              <w:t xml:space="preserve">Project Management, Reporting &amp; Coordination</w:t>
            </w:r>
          </w:p>
        </w:tc>
        <w:tc>
          <w:tcPr/>
          <w:p>
            <w:pPr>
              <w:pStyle w:val="Compact"/>
              <w:jc w:val="left"/>
            </w:pPr>
            <w:r>
              <w:t xml:space="preserve">6 months</w:t>
            </w:r>
          </w:p>
        </w:tc>
        <w:tc>
          <w:tcPr/>
          <w:p>
            <w:pPr>
              <w:pStyle w:val="Compact"/>
              <w:jc w:val="left"/>
            </w:pPr>
            <w:r>
              <w:t xml:space="preserve">R$ 12,000.00</w:t>
            </w:r>
          </w:p>
        </w:tc>
        <w:tc>
          <w:tcPr/>
          <w:p>
            <w:pPr>
              <w:pStyle w:val="Compact"/>
              <w:jc w:val="left"/>
            </w:pPr>
            <w:r>
              <w:t xml:space="preserve">6 (months)</w:t>
            </w:r>
          </w:p>
        </w:tc>
        <w:tc>
          <w:tcPr/>
          <w:p>
            <w:pPr>
              <w:pStyle w:val="Compact"/>
              <w:jc w:val="left"/>
            </w:pPr>
            <w:r>
              <w:t xml:space="preserve">R$ 72,000.00</w:t>
            </w:r>
          </w:p>
        </w:tc>
      </w:tr>
      <w:tr>
        <w:tc>
          <w:tcPr/>
          <w:p>
            <w:pPr>
              <w:pStyle w:val="Compact"/>
              <w:jc w:val="left"/>
            </w:pPr>
            <w:r>
              <w:t xml:space="preserve">7</w:t>
            </w:r>
          </w:p>
        </w:tc>
        <w:tc>
          <w:tcPr/>
          <w:p>
            <w:pPr>
              <w:pStyle w:val="Compact"/>
              <w:jc w:val="left"/>
            </w:pPr>
            <w:r>
              <w:t xml:space="preserve">Travel, Accommodation &amp; Field Logistics (Brazil Brasília to site)</w:t>
            </w:r>
          </w:p>
        </w:tc>
        <w:tc>
          <w:tcPr/>
          <w:p>
            <w:pPr>
              <w:pStyle w:val="Compact"/>
              <w:jc w:val="left"/>
            </w:pPr>
            <w:r>
              <w:t xml:space="preserve">6 months</w:t>
            </w:r>
          </w:p>
        </w:tc>
        <w:tc>
          <w:tcPr/>
          <w:p>
            <w:pPr>
              <w:pStyle w:val="Compact"/>
              <w:jc w:val="left"/>
            </w:pPr>
            <w:r>
              <w:t xml:space="preserve">R$ 6,800.00</w:t>
            </w:r>
          </w:p>
        </w:tc>
        <w:tc>
          <w:tcPr/>
          <w:p>
            <w:pPr>
              <w:pStyle w:val="Compact"/>
              <w:jc w:val="left"/>
            </w:pPr>
            <w:r>
              <w:t xml:space="preserve">6 (months)</w:t>
            </w:r>
          </w:p>
        </w:tc>
        <w:tc>
          <w:tcPr/>
          <w:p>
            <w:pPr>
              <w:pStyle w:val="Compact"/>
              <w:jc w:val="left"/>
            </w:pPr>
            <w:r>
              <w:t xml:space="preserve">R$ 40,800.00</w:t>
            </w:r>
          </w:p>
        </w:tc>
      </w:tr>
      <w:tr>
        <w:tc>
          <w:tcPr/>
          <w:p>
            <w:pPr>
              <w:pStyle w:val="Compact"/>
              <w:jc w:val="left"/>
            </w:pPr>
            <w:r>
              <w:t xml:space="preserve">8</w:t>
            </w:r>
          </w:p>
        </w:tc>
        <w:tc>
          <w:tcPr/>
          <w:p>
            <w:pPr>
              <w:pStyle w:val="Compact"/>
              <w:jc w:val="left"/>
            </w:pPr>
            <w:r>
              <w:t xml:space="preserve">Software Licenses (Petrel, tNavigator, OLGA) &amp; Data Processing</w:t>
            </w:r>
          </w:p>
        </w:tc>
        <w:tc>
          <w:tcPr/>
          <w:p>
            <w:pPr>
              <w:pStyle w:val="Compact"/>
              <w:jc w:val="left"/>
            </w:pPr>
            <w:r>
              <w:t xml:space="preserve">6 months</w:t>
            </w:r>
          </w:p>
        </w:tc>
        <w:tc>
          <w:tcPr/>
          <w:p>
            <w:pPr>
              <w:pStyle w:val="Compact"/>
              <w:jc w:val="left"/>
            </w:pPr>
            <w:r>
              <w:t xml:space="preserve">R$ 9,200.00</w:t>
            </w:r>
          </w:p>
        </w:tc>
        <w:tc>
          <w:tcPr/>
          <w:p>
            <w:pPr>
              <w:pStyle w:val="Compact"/>
              <w:jc w:val="left"/>
            </w:pPr>
            <w:r>
              <w:t xml:space="preserve">6 (months)</w:t>
            </w:r>
          </w:p>
        </w:tc>
        <w:tc>
          <w:tcPr/>
          <w:p>
            <w:pPr>
              <w:pStyle w:val="Compact"/>
              <w:jc w:val="left"/>
            </w:pPr>
            <w:r>
              <w:t xml:space="preserve">R$ 55,200.00</w:t>
            </w:r>
          </w:p>
        </w:tc>
      </w:tr>
      <w:tr>
        <w:tc>
          <w:tcPr>
            <w:gridSpan w:val="5"/>
          </w:tcPr>
          <w:p>
            <w:pPr>
              <w:pStyle w:val="Compact"/>
              <w:jc w:val="right"/>
            </w:pPr>
            <w:r>
              <w:t xml:space="preserve">SUBTOTAL (BRL)</w:t>
            </w:r>
          </w:p>
        </w:tc>
        <w:tc>
          <w:tcPr/>
          <w:p>
            <w:pPr>
              <w:pStyle w:val="Compact"/>
              <w:jc w:val="left"/>
            </w:pPr>
            <w:r>
              <w:t xml:space="preserve">R$ 396,300.00</w:t>
            </w:r>
          </w:p>
        </w:tc>
      </w:tr>
      <w:tr>
        <w:tc>
          <w:tcPr>
            <w:gridSpan w:val="5"/>
          </w:tcPr>
          <w:p>
            <w:pPr>
              <w:pStyle w:val="Compact"/>
              <w:jc w:val="right"/>
            </w:pPr>
            <w:r>
              <w:t xml:space="preserve">Applicable Taxes (ISS, PIS, COFINS – approx. 11.5%)</w:t>
            </w:r>
          </w:p>
        </w:tc>
        <w:tc>
          <w:tcPr/>
          <w:p>
            <w:pPr>
              <w:pStyle w:val="Compact"/>
              <w:jc w:val="left"/>
            </w:pPr>
            <w:r>
              <w:t xml:space="preserve">R$ 45,574.50</w:t>
            </w:r>
          </w:p>
        </w:tc>
      </w:tr>
      <w:tr>
        <w:tc>
          <w:tcPr>
            <w:gridSpan w:val="5"/>
          </w:tcPr>
          <w:p>
            <w:pPr>
              <w:pStyle w:val="Compact"/>
              <w:jc w:val="right"/>
            </w:pPr>
            <w:r>
              <w:t xml:space="preserve">TOTAL ESTIMATED COST (BRL)</w:t>
            </w:r>
          </w:p>
        </w:tc>
        <w:tc>
          <w:tcPr/>
          <w:p>
            <w:pPr>
              <w:pStyle w:val="Compact"/>
              <w:jc w:val="left"/>
            </w:pPr>
            <w:r>
              <w:t xml:space="preserve">R$ 441,874.50</w:t>
            </w:r>
          </w:p>
        </w:tc>
      </w:tr>
      <w:tr>
        <w:tc>
          <w:tcPr>
            <w:gridSpan w:val="5"/>
          </w:tcPr>
          <w:p>
            <w:pPr>
              <w:pStyle w:val="Compact"/>
              <w:jc w:val="right"/>
            </w:pPr>
            <w:r>
              <w:t xml:space="preserve">TOTAL ESTIMATED COST (USD – reference rate R$ 5.45/USD)</w:t>
            </w:r>
          </w:p>
        </w:tc>
        <w:tc>
          <w:tcPr/>
          <w:p>
            <w:pPr>
              <w:pStyle w:val="Compact"/>
              <w:jc w:val="left"/>
            </w:pPr>
            <w:r>
              <w:t xml:space="preserve">USD 81,077.89</w:t>
            </w:r>
          </w:p>
        </w:tc>
      </w:tr>
    </w:tbl>
    <w:p>
      <w:pPr>
        <w:pStyle w:val="BodyText"/>
      </w:pPr>
      <w:r>
        <w:t xml:space="preserve">4. Terms and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valid for a period of ninety (90) calendar days from the date of issue. After this period, all rates and conditions are subject to revision based on market conditions, exchange rate fluctuations, and updated cost structures.</w:t>
      </w:r>
    </w:p>
    <w:p>
      <w:pPr>
        <w:numPr>
          <w:ilvl w:val="0"/>
          <w:numId w:val="1002"/>
        </w:numPr>
        <w:pStyle w:val="Compact"/>
      </w:pPr>
      <w:r>
        <w:t xml:space="preserve">All</w:t>
      </w:r>
      <w:r>
        <w:t xml:space="preserve"> </w:t>
      </w:r>
      <w:r>
        <w:t xml:space="preserve">Petroleum Engineer</w:t>
      </w:r>
      <w:r>
        <w:t xml:space="preserve"> </w:t>
      </w:r>
      <w:r>
        <w:t xml:space="preserve">personnel assigned to this engagement shall hold valid professional registration with the Federal Council of Engineering and Agronomy (CREA-DF) and possess a minimum of ten (10) years of relevant experience in the Brazilian petroleum sector.</w:t>
      </w:r>
    </w:p>
    <w:p>
      <w:pPr>
        <w:numPr>
          <w:ilvl w:val="0"/>
          <w:numId w:val="1002"/>
        </w:numPr>
        <w:pStyle w:val="Compact"/>
      </w:pPr>
      <w:r>
        <w:t xml:space="preserve">Payment terms: 30% advance upon contract signing, 40% upon completion of the mid-project milestone (month 3), and 30% upon final delivery and acceptance of all technical reports. Invoices shall be issued in BRL and are payable within fifteen (15) business days via bank transfer to the account designated in the contract annex.</w:t>
      </w:r>
    </w:p>
    <w:p>
      <w:pPr>
        <w:numPr>
          <w:ilvl w:val="0"/>
          <w:numId w:val="1002"/>
        </w:numPr>
        <w:pStyle w:val="Compact"/>
      </w:pPr>
      <w:r>
        <w:t xml:space="preserve">All services shall be performed in compliance with the Brazilian Federal Constitution, the Petroleum Law (Law No. 9,478/1997), ANP Resolution No. 858/2023, and all applicable environmental and labor regulations in force in</w:t>
      </w:r>
      <w:r>
        <w:t xml:space="preserve"> </w:t>
      </w:r>
      <w:r>
        <w:t xml:space="preserve">Brazil Brasília</w:t>
      </w:r>
      <w:r>
        <w:t xml:space="preserve"> </w:t>
      </w:r>
      <w:r>
        <w:t xml:space="preserve">and the Federal District.</w:t>
      </w:r>
    </w:p>
    <w:p>
      <w:pPr>
        <w:numPr>
          <w:ilvl w:val="0"/>
          <w:numId w:val="1002"/>
        </w:numPr>
        <w:pStyle w:val="Compact"/>
      </w:pPr>
      <w:r>
        <w:t xml:space="preserve">The client shall provide timely access to all geological, geophysical, well, and production data necessary for the execution of the Petroleum Engineer services. Delays in data provision shall result in a proportional extension of the project timeline without additional cost to the client.</w:t>
      </w:r>
    </w:p>
    <w:p>
      <w:pPr>
        <w:numPr>
          <w:ilvl w:val="0"/>
          <w:numId w:val="1002"/>
        </w:numPr>
        <w:pStyle w:val="Compact"/>
      </w:pPr>
      <w:r>
        <w:t xml:space="preserve">Confidentiality: All data, reports, and deliverables produced under this engagement are the exclusive property of the client. PetroEng Solutions Ltda. shall maintain strict confidentiality in accordance with the Non-Disclosure Agreement (NDA) to be executed concurrently with the service contract.</w:t>
      </w:r>
    </w:p>
    <w:p>
      <w:pPr>
        <w:numPr>
          <w:ilvl w:val="0"/>
          <w:numId w:val="1002"/>
        </w:numPr>
        <w:pStyle w:val="Compact"/>
      </w:pPr>
      <w:r>
        <w:t xml:space="preserve">Force Majeure: Neither party shall be liable for delays or failures in performance resulting from events beyond reasonable control, including but not limited to natural disasters, government sanctions, pandemics, or regulatory changes enacted by ANP or the Federal Government of Brazil Brasília.</w:t>
      </w:r>
    </w:p>
    <w:p>
      <w:pPr>
        <w:numPr>
          <w:ilvl w:val="0"/>
          <w:numId w:val="1002"/>
        </w:numPr>
        <w:pStyle w:val="Compact"/>
      </w:pPr>
      <w:r>
        <w:t xml:space="preserve">Dispute Resolution: Any disputes arising from this Quotation Estimate or the subsequent service contract shall be resolved through arbitration in Brasília – DF, Brazil, in accordance with the rules of the Brazilian Arbitration Association (CAMARB), conducted in the Portuguese language.</w:t>
      </w:r>
    </w:p>
    <w:p>
      <w:pPr>
        <w:numPr>
          <w:ilvl w:val="0"/>
          <w:numId w:val="1002"/>
        </w:numPr>
        <w:pStyle w:val="Compact"/>
      </w:pPr>
      <w:r>
        <w:t xml:space="preserve">This Quotation Estimate does not constitute a binding contract. A formal Service Agreement must be executed by both parties before any work commences. The terms herein are subject to the final contract language.</w:t>
      </w:r>
    </w:p>
    <w:p>
      <w:pPr>
        <w:numPr>
          <w:ilvl w:val="0"/>
          <w:numId w:val="1002"/>
        </w:numPr>
        <w:pStyle w:val="Compact"/>
      </w:pPr>
      <w:r>
        <w:t xml:space="preserve">Any changes to the scope of work, additional Petroleum Engineer personnel, or extended timelines must be documented through a formal Change Order signed by both parties prior to execution.</w:t>
      </w:r>
    </w:p>
    <w:p>
      <w:pPr>
        <w:pStyle w:val="FirstParagraph"/>
      </w:pPr>
      <w:r>
        <w:t xml:space="preserve">5.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for</w:t>
      </w:r>
      <w:r>
        <w:t xml:space="preserve"> </w:t>
      </w:r>
      <w:r>
        <w:t xml:space="preserve">Petroleum Engineer</w:t>
      </w:r>
      <w:r>
        <w:t xml:space="preserve"> </w:t>
      </w:r>
      <w:r>
        <w:t xml:space="preserve">services to be rendered in</w:t>
      </w:r>
      <w:r>
        <w:t xml:space="preserve"> </w:t>
      </w:r>
      <w:r>
        <w:t xml:space="preserve">Brazil Brasília</w:t>
      </w:r>
      <w:r>
        <w:t xml:space="preserve"> </w:t>
      </w:r>
      <w:r>
        <w:t xml:space="preserve">and authorizes PetroEng Solutions Ltda. to proceed with the preparation of the formal Service Agreement upon acceptance of the terms outlined herein.</w:t>
      </w:r>
    </w:p>
    <w:p>
      <w:pPr>
        <w:pStyle w:val="BodyText"/>
      </w:pPr>
      <w:r>
        <w:rPr>
          <w:bCs/>
          <w:b/>
        </w:rPr>
        <w:t xml:space="preserve">For PetroEng Solutions Ltda. (Service Provider)</w:t>
      </w:r>
      <w:r>
        <w:br/>
      </w:r>
      <w:r>
        <w:t xml:space="preserve">Eng. Ricardo Almeida, P.Eng.</w:t>
      </w:r>
      <w:r>
        <w:br/>
      </w:r>
      <w:r>
        <w:t xml:space="preserve">Technical Director – CREA-DF 123456-D</w:t>
      </w:r>
    </w:p>
    <w:p>
      <w:pPr>
        <w:pStyle w:val="BodyText"/>
      </w:pPr>
      <w:r>
        <w:rPr>
          <w:bCs/>
          <w:b/>
        </w:rPr>
        <w:t xml:space="preserve">For the Client (Requesting Party)</w:t>
      </w:r>
      <w:r>
        <w:br/>
      </w:r>
      <w:r>
        <w:t xml:space="preserve">[Name and Title]</w:t>
      </w:r>
      <w:r>
        <w:br/>
      </w:r>
      <w:r>
        <w:t xml:space="preserve">[Company Name]</w:t>
      </w:r>
    </w:p>
    <w:p>
      <w:pPr>
        <w:pStyle w:val="BodyText"/>
      </w:pPr>
      <w:r>
        <w:t xml:space="preserve">PetroEng Solutions Ltda. | Setor Comercial Sul, Quadra 04, Bloco B, Sala 1200, Brasília – DF, CEP 70304-900, Brazil</w:t>
      </w:r>
    </w:p>
    <w:p>
      <w:pPr>
        <w:pStyle w:val="BodyText"/>
      </w:pPr>
      <w:r>
        <w:t xml:space="preserve">CNPJ: 12.345.678/0001-90 | commercial@petroengsolutions.com.br | +55 (61) 3344-7890</w:t>
      </w:r>
    </w:p>
    <w:p>
      <w:pPr>
        <w:pStyle w:val="BodyText"/>
      </w:pPr>
      <w:r>
        <w:t xml:space="preserve">This Quotation Estimate document was generated on 15 June 2025. All rates are exclusive of any additional travel or accommodation costs not explicitly itemized above. This document is the property of PetroEng Solutions Ltda. and may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Petroleum Engineer Services - Brazil Brasília</dc:title>
  <dc:creator/>
  <dc:language>en</dc:language>
  <cp:keywords/>
  <dcterms:created xsi:type="dcterms:W3CDTF">2026-10-10T05:49:31Z</dcterms:created>
  <dcterms:modified xsi:type="dcterms:W3CDTF">2026-10-10T05:49:31Z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