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petroleum-engineer-professional-services"/>
    <w:p>
      <w:pPr>
        <w:pStyle w:val="Heading2"/>
      </w:pPr>
      <w:r>
        <w:t xml:space="preserve">Petroleum Engineer Professional Services</w:t>
      </w:r>
    </w:p>
    <w:p>
      <w:pPr>
        <w:pStyle w:val="FirstParagraph"/>
      </w:pPr>
      <w:r>
        <w:rPr>
          <w:bCs/>
          <w:b/>
        </w:rPr>
        <w:t xml:space="preserve">Alexandria Energy &amp; Petroleum Consulting Co.</w:t>
      </w:r>
    </w:p>
    <w:p>
      <w:pPr>
        <w:pStyle w:val="BodyText"/>
      </w:pPr>
      <w:r>
        <w:t xml:space="preserve">142 Corniche El-Nil Street, Smouha District, Egypt Alexandria, 21543</w:t>
      </w:r>
    </w:p>
    <w:p>
      <w:pPr>
        <w:pStyle w:val="BodyText"/>
      </w:pPr>
      <w:r>
        <w:t xml:space="preserve">Tel: +20 3 485 6721 | Email: quotes@alexpetroleum-eg.com</w:t>
      </w:r>
    </w:p>
    <w:p>
      <w:pPr>
        <w:pStyle w:val="BodyText"/>
      </w:pPr>
      <w:r>
        <w:t xml:space="preserve">Commercial Registration No. 482910 | Tax ID: 552-881-334</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QTE-2025-EG-0472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Hassan El-Sayed, Project Director, Nile Delta Offshore Operations Ltd.</w:t>
            </w:r>
          </w:p>
        </w:tc>
      </w:tr>
      <w:tr>
        <w:tc>
          <w:tcPr/>
          <w:p>
            <w:pPr>
              <w:pStyle w:val="Compact"/>
              <w:jc w:val="left"/>
            </w:pPr>
            <w:r>
              <w:t xml:space="preserve">Project Location</w:t>
            </w:r>
          </w:p>
        </w:tc>
        <w:tc>
          <w:tcPr/>
          <w:p>
            <w:pPr>
              <w:pStyle w:val="Compact"/>
              <w:jc w:val="left"/>
            </w:pPr>
            <w:r>
              <w:t xml:space="preserve">Egypt Alexandria – Coastal &amp; Onshore Petroleum Operations Zone</w:t>
            </w:r>
          </w:p>
        </w:tc>
      </w:tr>
      <w:tr>
        <w:tc>
          <w:tcPr/>
          <w:p>
            <w:pPr>
              <w:pStyle w:val="Compact"/>
              <w:jc w:val="left"/>
            </w:pPr>
            <w:r>
              <w:t xml:space="preserve">Prepared By</w:t>
            </w:r>
          </w:p>
        </w:tc>
        <w:tc>
          <w:tcPr/>
          <w:p>
            <w:pPr>
              <w:pStyle w:val="Compact"/>
              <w:jc w:val="left"/>
            </w:pPr>
            <w:r>
              <w:t xml:space="preserve">Eng. Mona Fathy, Senior Petroleum Engineer &amp; Head of Estimation</w:t>
            </w:r>
          </w:p>
        </w:tc>
      </w:tr>
      <w:tr>
        <w:tc>
          <w:tcPr/>
          <w:p>
            <w:pPr>
              <w:pStyle w:val="Compact"/>
              <w:jc w:val="left"/>
            </w:pPr>
            <w:r>
              <w:t xml:space="preserve">Currency</w:t>
            </w:r>
          </w:p>
        </w:tc>
        <w:tc>
          <w:tcPr/>
          <w:p>
            <w:pPr>
              <w:pStyle w:val="Compact"/>
              <w:jc w:val="left"/>
            </w:pPr>
            <w:r>
              <w:t xml:space="preserve">Egyptian Pound (EGP) / US Dollar (USD)</w:t>
            </w:r>
          </w:p>
        </w:tc>
      </w:tr>
    </w:tbl>
    <w:bookmarkStart w:id="22" w:name="purpose-of-this-quotation-estimate"/>
    <w:p>
      <w:pPr>
        <w:pStyle w:val="Heading3"/>
      </w:pPr>
      <w:r>
        <w:t xml:space="preserve">1. Purpose of This Quotation Estimate</w:t>
      </w:r>
    </w:p>
    <w:p>
      <w:pPr>
        <w:pStyle w:val="FirstParagraph"/>
      </w:pPr>
      <w:r>
        <w:t xml:space="preserve">This Quotation Estimate is issued by Alexandria Energy &amp; Petroleum Consulting Co. to provide a comprehensive, itemized cost breakdown for the engagement of a qualified Petroleum Engineer to deliver technical consulting, reservoir evaluation, and operational oversight services in Egypt Alexandria. The scope of work outlined herein is tailored to the specific geological and operational conditions of the Alexandria coastal basin and the surrounding onshore petroleum fields. All pricing in this Quotation Estimate reflects current market rates for Petroleum Engineer expertise in Egypt Alexandria as of the date of issue and includes applicable local taxes and regulatory fees.</w:t>
      </w:r>
    </w:p>
    <w:bookmarkEnd w:id="22"/>
    <w:bookmarkStart w:id="23" w:name="X87dca6e573e559389b60627e49ceac5a520c524"/>
    <w:p>
      <w:pPr>
        <w:pStyle w:val="Heading3"/>
      </w:pPr>
      <w:r>
        <w:t xml:space="preserve">2. Scope of Work – Petroleum Engineer Services in Egypt Alexandria</w:t>
      </w:r>
    </w:p>
    <w:p>
      <w:pPr>
        <w:pStyle w:val="FirstParagraph"/>
      </w:pPr>
      <w:r>
        <w:t xml:space="preserve">The Petroleum Engineer engaged under this Quotation Estimate shall perform the following duties across the Egypt Alexandria operational area:</w:t>
      </w:r>
    </w:p>
    <w:p>
      <w:pPr>
        <w:numPr>
          <w:ilvl w:val="0"/>
          <w:numId w:val="1001"/>
        </w:numPr>
        <w:pStyle w:val="Compact"/>
      </w:pPr>
      <w:r>
        <w:t xml:space="preserve">Conduct detailed reservoir characterization and volumetric analysis for the three onshore blocks adjacent to the Alexandria metropolitan zone.</w:t>
      </w:r>
    </w:p>
    <w:p>
      <w:pPr>
        <w:numPr>
          <w:ilvl w:val="0"/>
          <w:numId w:val="1001"/>
        </w:numPr>
        <w:pStyle w:val="Compact"/>
      </w:pPr>
      <w:r>
        <w:t xml:space="preserve">Prepare and review well completion designs, perforation programs, and artificial lift system selections for 12 producing wells.</w:t>
      </w:r>
    </w:p>
    <w:p>
      <w:pPr>
        <w:numPr>
          <w:ilvl w:val="0"/>
          <w:numId w:val="1001"/>
        </w:numPr>
        <w:pStyle w:val="Compact"/>
      </w:pPr>
      <w:r>
        <w:t xml:space="preserve">Perform production forecasting, decline curve analysis, and economic viability assessments using industry-standard software (Petrel, CMG, and iRes).</w:t>
      </w:r>
    </w:p>
    <w:p>
      <w:pPr>
        <w:numPr>
          <w:ilvl w:val="0"/>
          <w:numId w:val="1001"/>
        </w:numPr>
        <w:pStyle w:val="Compact"/>
      </w:pPr>
      <w:r>
        <w:t xml:space="preserve">Overseas hydraulic fracturing and acid stimulation programs to optimize recovery rates in low-permeability sandstone reservoirs.</w:t>
      </w:r>
    </w:p>
    <w:p>
      <w:pPr>
        <w:numPr>
          <w:ilvl w:val="0"/>
          <w:numId w:val="1001"/>
        </w:numPr>
        <w:pStyle w:val="Compact"/>
      </w:pPr>
      <w:r>
        <w:t xml:space="preserve">Coordinate with the Egyptian General Petroleum Corporation (EGPC) regional office in Egypt Alexandria for regulatory compliance, environmental impact reporting, and well permit renewals.</w:t>
      </w:r>
    </w:p>
    <w:p>
      <w:pPr>
        <w:numPr>
          <w:ilvl w:val="0"/>
          <w:numId w:val="1001"/>
        </w:numPr>
        <w:pStyle w:val="Compact"/>
      </w:pPr>
      <w:r>
        <w:t xml:space="preserve">Deliver monthly technical progress reports and quarterly strategic recommendations to the project management team.</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Petroleum Engineer Service</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Petroleum Engineer – Reservoir Engineering &amp; Production Optimization (full-time on-site, Egypt Alexandria)</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w:t>
            </w:r>
          </w:p>
        </w:tc>
        <w:tc>
          <w:tcPr/>
          <w:p>
            <w:pPr>
              <w:pStyle w:val="Compact"/>
              <w:jc w:val="left"/>
            </w:pPr>
            <w:r>
              <w:t xml:space="preserve">10,500</w:t>
            </w:r>
          </w:p>
        </w:tc>
      </w:tr>
      <w:tr>
        <w:tc>
          <w:tcPr/>
          <w:p>
            <w:pPr>
              <w:pStyle w:val="Compact"/>
              <w:jc w:val="left"/>
            </w:pPr>
            <w:r>
              <w:t xml:space="preserve">2</w:t>
            </w:r>
          </w:p>
        </w:tc>
        <w:tc>
          <w:tcPr/>
          <w:p>
            <w:pPr>
              <w:pStyle w:val="Compact"/>
              <w:jc w:val="left"/>
            </w:pPr>
            <w:r>
              <w:t xml:space="preserve">Petroleum Engineer – Well Completion &amp; Stimulation Design (part-time, 3 days/week)</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w:t>
            </w:r>
          </w:p>
        </w:tc>
        <w:tc>
          <w:tcPr/>
          <w:p>
            <w:pPr>
              <w:pStyle w:val="Compact"/>
              <w:jc w:val="left"/>
            </w:pPr>
            <w:r>
              <w:t xml:space="preserve">5,200</w:t>
            </w:r>
          </w:p>
        </w:tc>
      </w:tr>
      <w:tr>
        <w:tc>
          <w:tcPr/>
          <w:p>
            <w:pPr>
              <w:pStyle w:val="Compact"/>
              <w:jc w:val="left"/>
            </w:pPr>
            <w:r>
              <w:t xml:space="preserve">3</w:t>
            </w:r>
          </w:p>
        </w:tc>
        <w:tc>
          <w:tcPr/>
          <w:p>
            <w:pPr>
              <w:pStyle w:val="Compact"/>
              <w:jc w:val="left"/>
            </w:pPr>
            <w:r>
              <w:t xml:space="preserve">Reservoir Simulation &amp; Volumetric Study (Petrel / CMG licensing and execution)</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360,000</w:t>
            </w:r>
          </w:p>
        </w:tc>
        <w:tc>
          <w:tcPr/>
          <w:p>
            <w:pPr>
              <w:pStyle w:val="Compact"/>
              <w:jc w:val="left"/>
            </w:pPr>
            <w:r>
              <w:t xml:space="preserve">7,400</w:t>
            </w:r>
          </w:p>
        </w:tc>
      </w:tr>
      <w:tr>
        <w:tc>
          <w:tcPr/>
          <w:p>
            <w:pPr>
              <w:pStyle w:val="Compact"/>
              <w:jc w:val="left"/>
            </w:pPr>
            <w:r>
              <w:t xml:space="preserve">4</w:t>
            </w:r>
          </w:p>
        </w:tc>
        <w:tc>
          <w:tcPr/>
          <w:p>
            <w:pPr>
              <w:pStyle w:val="Compact"/>
              <w:jc w:val="left"/>
            </w:pPr>
            <w:r>
              <w:t xml:space="preserve">EGPC Regulatory Compliance &amp; Environmental Reporting (Egypt Alexandria jurisdiction)</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c>
          <w:tcPr/>
          <w:p>
            <w:pPr>
              <w:pStyle w:val="Compact"/>
              <w:jc w:val="left"/>
            </w:pPr>
            <w:r>
              <w:t xml:space="preserve">4,300</w:t>
            </w:r>
          </w:p>
        </w:tc>
      </w:tr>
      <w:tr>
        <w:tc>
          <w:tcPr/>
          <w:p>
            <w:pPr>
              <w:pStyle w:val="Compact"/>
              <w:jc w:val="left"/>
            </w:pPr>
            <w:r>
              <w:t xml:space="preserve">5</w:t>
            </w:r>
          </w:p>
        </w:tc>
        <w:tc>
          <w:tcPr/>
          <w:p>
            <w:pPr>
              <w:pStyle w:val="Compact"/>
              <w:jc w:val="left"/>
            </w:pPr>
            <w:r>
              <w:t xml:space="preserve">Field Supervision &amp; Well Intervention Oversight (on-site, Alexandria coastal blocks)</w:t>
            </w:r>
          </w:p>
        </w:tc>
        <w:tc>
          <w:tcPr/>
          <w:p>
            <w:pPr>
              <w:pStyle w:val="Compact"/>
              <w:jc w:val="left"/>
            </w:pPr>
            <w:r>
              <w:t xml:space="preserve">6 months</w:t>
            </w:r>
          </w:p>
        </w:tc>
        <w:tc>
          <w:tcPr/>
          <w:p>
            <w:pPr>
              <w:pStyle w:val="Compact"/>
              <w:jc w:val="left"/>
            </w:pPr>
            <w:r>
              <w:t xml:space="preserve">55,000 / month</w:t>
            </w:r>
          </w:p>
        </w:tc>
        <w:tc>
          <w:tcPr/>
          <w:p>
            <w:pPr>
              <w:pStyle w:val="Compact"/>
              <w:jc w:val="left"/>
            </w:pPr>
            <w:r>
              <w:t xml:space="preserve">330,000</w:t>
            </w:r>
          </w:p>
        </w:tc>
        <w:tc>
          <w:tcPr/>
          <w:p>
            <w:pPr>
              <w:pStyle w:val="Compact"/>
              <w:jc w:val="left"/>
            </w:pPr>
            <w:r>
              <w:t xml:space="preserve">6,800</w:t>
            </w:r>
          </w:p>
        </w:tc>
      </w:tr>
      <w:tr>
        <w:tc>
          <w:tcPr/>
          <w:p>
            <w:pPr>
              <w:pStyle w:val="Compact"/>
              <w:jc w:val="left"/>
            </w:pPr>
            <w:r>
              <w:t xml:space="preserve">6</w:t>
            </w:r>
          </w:p>
        </w:tc>
        <w:tc>
          <w:tcPr/>
          <w:p>
            <w:pPr>
              <w:pStyle w:val="Compact"/>
              <w:jc w:val="left"/>
            </w:pPr>
            <w:r>
              <w:t xml:space="preserve">Technical Reporting, Data Management &amp; Knowledge Transfer Sessions</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w:t>
            </w:r>
          </w:p>
        </w:tc>
        <w:tc>
          <w:tcPr/>
          <w:p>
            <w:pPr>
              <w:pStyle w:val="Compact"/>
              <w:jc w:val="left"/>
            </w:pPr>
            <w:r>
              <w:t xml:space="preserve">3,450</w:t>
            </w:r>
          </w:p>
        </w:tc>
      </w:tr>
      <w:tr>
        <w:tc>
          <w:tcPr/>
          <w:p>
            <w:pPr>
              <w:pStyle w:val="Compact"/>
              <w:jc w:val="left"/>
            </w:pPr>
            <w:r>
              <w:t xml:space="preserve">7</w:t>
            </w:r>
          </w:p>
        </w:tc>
        <w:tc>
          <w:tcPr/>
          <w:p>
            <w:pPr>
              <w:pStyle w:val="Compact"/>
              <w:jc w:val="left"/>
            </w:pPr>
            <w:r>
              <w:t xml:space="preserve">Travel, Accommodation &amp; Local Logistics within Egypt Alexandria</w:t>
            </w:r>
          </w:p>
        </w:tc>
        <w:tc>
          <w:tcPr/>
          <w:p>
            <w:pPr>
              <w:pStyle w:val="Compact"/>
              <w:jc w:val="left"/>
            </w:pPr>
            <w:r>
              <w:t xml:space="preserve">6 months</w:t>
            </w:r>
          </w:p>
        </w:tc>
        <w:tc>
          <w:tcPr/>
          <w:p>
            <w:pPr>
              <w:pStyle w:val="Compact"/>
              <w:jc w:val="left"/>
            </w:pPr>
            <w:r>
              <w:t xml:space="preserve">18,000 / month</w:t>
            </w:r>
          </w:p>
        </w:tc>
        <w:tc>
          <w:tcPr/>
          <w:p>
            <w:pPr>
              <w:pStyle w:val="Compact"/>
              <w:jc w:val="left"/>
            </w:pPr>
            <w:r>
              <w:t xml:space="preserve">108,000</w:t>
            </w:r>
          </w:p>
        </w:tc>
        <w:tc>
          <w:tcPr/>
          <w:p>
            <w:pPr>
              <w:pStyle w:val="Compact"/>
              <w:jc w:val="left"/>
            </w:pPr>
            <w:r>
              <w:t xml:space="preserve">2,220</w:t>
            </w:r>
          </w:p>
        </w:tc>
      </w:tr>
      <w:tr>
        <w:tc>
          <w:tcPr/>
          <w:p>
            <w:pPr>
              <w:pStyle w:val="Compact"/>
              <w:jc w:val="left"/>
            </w:pPr>
            <w:r>
              <w:t xml:space="preserve">8</w:t>
            </w:r>
          </w:p>
        </w:tc>
        <w:tc>
          <w:tcPr/>
          <w:p>
            <w:pPr>
              <w:pStyle w:val="Compact"/>
              <w:jc w:val="left"/>
            </w:pPr>
            <w:r>
              <w:t xml:space="preserve">Software Licenses, Data Acquisition &amp; Third-Party Laboratory Analysis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95,000</w:t>
            </w:r>
          </w:p>
        </w:tc>
        <w:tc>
          <w:tcPr/>
          <w:p>
            <w:pPr>
              <w:pStyle w:val="Compact"/>
              <w:jc w:val="left"/>
            </w:pPr>
            <w:r>
              <w:t xml:space="preserve">1,960</w:t>
            </w:r>
          </w:p>
        </w:tc>
      </w:tr>
      <w:tr>
        <w:tc>
          <w:tcPr>
            <w:gridSpan w:val="4"/>
          </w:tcPr>
          <w:p>
            <w:pPr>
              <w:pStyle w:val="Compact"/>
              <w:jc w:val="left"/>
            </w:pPr>
            <w:r>
              <w:t xml:space="preserve">Subtotal</w:t>
            </w:r>
          </w:p>
        </w:tc>
        <w:tc>
          <w:tcPr/>
          <w:p>
            <w:pPr>
              <w:pStyle w:val="Compact"/>
              <w:jc w:val="left"/>
            </w:pPr>
            <w:r>
              <w:t xml:space="preserve">2,033,000</w:t>
            </w:r>
          </w:p>
        </w:tc>
        <w:tc>
          <w:tcPr/>
          <w:p>
            <w:pPr>
              <w:pStyle w:val="Compact"/>
              <w:jc w:val="left"/>
            </w:pPr>
            <w:r>
              <w:t xml:space="preserve">41,830</w:t>
            </w:r>
          </w:p>
        </w:tc>
      </w:tr>
      <w:tr>
        <w:tc>
          <w:tcPr>
            <w:gridSpan w:val="4"/>
          </w:tcPr>
          <w:p>
            <w:pPr>
              <w:pStyle w:val="Compact"/>
              <w:jc w:val="left"/>
            </w:pPr>
            <w:r>
              <w:t xml:space="preserve">VAT (14% – Egyptian Tax Authority)</w:t>
            </w:r>
          </w:p>
        </w:tc>
        <w:tc>
          <w:tcPr/>
          <w:p>
            <w:pPr>
              <w:pStyle w:val="Compact"/>
              <w:jc w:val="left"/>
            </w:pPr>
            <w:r>
              <w:t xml:space="preserve">284,620</w:t>
            </w:r>
          </w:p>
        </w:tc>
        <w:tc>
          <w:tcPr/>
          <w:p>
            <w:pPr>
              <w:pStyle w:val="Compact"/>
              <w:jc w:val="left"/>
            </w:pPr>
            <w:r>
              <w:t xml:space="preserve">5,856</w:t>
            </w:r>
          </w:p>
        </w:tc>
      </w:tr>
      <w:tr>
        <w:tc>
          <w:tcPr>
            <w:gridSpan w:val="4"/>
          </w:tcPr>
          <w:p>
            <w:pPr>
              <w:pStyle w:val="Compact"/>
              <w:jc w:val="left"/>
            </w:pPr>
            <w:r>
              <w:t xml:space="preserve">TOTAL QUOTATION ESTIMATE AMOUNT</w:t>
            </w:r>
          </w:p>
        </w:tc>
        <w:tc>
          <w:tcPr/>
          <w:p>
            <w:pPr>
              <w:pStyle w:val="Compact"/>
              <w:jc w:val="left"/>
            </w:pPr>
            <w:r>
              <w:t xml:space="preserve">3,317,620</w:t>
            </w:r>
          </w:p>
        </w:tc>
        <w:tc>
          <w:tcPr/>
          <w:p>
            <w:pPr>
              <w:pStyle w:val="Compact"/>
              <w:jc w:val="left"/>
            </w:pPr>
            <w:r>
              <w:t xml:space="preserve">68,586</w:t>
            </w:r>
          </w:p>
        </w:tc>
      </w:tr>
    </w:tbl>
    <w:bookmarkEnd w:id="24"/>
    <w:bookmarkStart w:id="25" w:name="payment-schedule"/>
    <w:p>
      <w:pPr>
        <w:pStyle w:val="Heading3"/>
      </w:pPr>
      <w:r>
        <w:t xml:space="preserve">4. Payment Schedule</w:t>
      </w:r>
    </w:p>
    <w:p>
      <w:pPr>
        <w:pStyle w:val="FirstParagraph"/>
      </w:pPr>
      <w:r>
        <w:t xml:space="preserve">Payment against this Quotation Estimate shall be made in four equal installments, each due within 30 days of the corresponding milestone:</w:t>
      </w:r>
    </w:p>
    <w:p>
      <w:pPr>
        <w:numPr>
          <w:ilvl w:val="0"/>
          <w:numId w:val="1002"/>
        </w:numPr>
        <w:pStyle w:val="Compact"/>
      </w:pPr>
      <w:r>
        <w:rPr>
          <w:bCs/>
          <w:b/>
        </w:rPr>
        <w:t xml:space="preserve">Installment 1 (25%):</w:t>
      </w:r>
      <w:r>
        <w:t xml:space="preserve"> </w:t>
      </w:r>
      <w:r>
        <w:t xml:space="preserve">Upon contract execution and commencement of the Petroleum Engineer mobilization in Egypt Alexandria.</w:t>
      </w:r>
    </w:p>
    <w:p>
      <w:pPr>
        <w:numPr>
          <w:ilvl w:val="0"/>
          <w:numId w:val="1002"/>
        </w:numPr>
        <w:pStyle w:val="Compact"/>
      </w:pPr>
      <w:r>
        <w:rPr>
          <w:bCs/>
          <w:b/>
        </w:rPr>
        <w:t xml:space="preserve">Installment 2 (25%):</w:t>
      </w:r>
      <w:r>
        <w:t xml:space="preserve"> </w:t>
      </w:r>
      <w:r>
        <w:t xml:space="preserve">Upon completion of the reservoir characterization and volumetric study deliverables.</w:t>
      </w:r>
    </w:p>
    <w:p>
      <w:pPr>
        <w:numPr>
          <w:ilvl w:val="0"/>
          <w:numId w:val="1002"/>
        </w:numPr>
        <w:pStyle w:val="Compact"/>
      </w:pPr>
      <w:r>
        <w:rPr>
          <w:bCs/>
          <w:b/>
        </w:rPr>
        <w:t xml:space="preserve">Installment 3 (25%):</w:t>
      </w:r>
      <w:r>
        <w:t xml:space="preserve"> </w:t>
      </w:r>
      <w:r>
        <w:t xml:space="preserve">Upon successful execution of the well completion and stimulation programs.</w:t>
      </w:r>
    </w:p>
    <w:p>
      <w:pPr>
        <w:numPr>
          <w:ilvl w:val="0"/>
          <w:numId w:val="1002"/>
        </w:numPr>
        <w:pStyle w:val="Compact"/>
      </w:pPr>
      <w:r>
        <w:rPr>
          <w:bCs/>
          <w:b/>
        </w:rPr>
        <w:t xml:space="preserve">Installment 4 (25%):</w:t>
      </w:r>
      <w:r>
        <w:t xml:space="preserve"> </w:t>
      </w:r>
      <w:r>
        <w:t xml:space="preserve">Upon final project close-out, submission of the comprehensive technical report, and handover of all data assets.</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Any request for services beyond this period will require a revised Quotation Estimate reflecting updated Petroleum Engineer market rates in Egypt Alexandria.</w:t>
      </w:r>
    </w:p>
    <w:p>
      <w:pPr>
        <w:numPr>
          <w:ilvl w:val="0"/>
          <w:numId w:val="1003"/>
        </w:numPr>
        <w:pStyle w:val="Compact"/>
      </w:pPr>
      <w:r>
        <w:t xml:space="preserve">All Petroleum Engineer personnel assigned under this engagement shall hold valid Egyptian professional engineering licenses and shall comply with the Egyptian Petroleum Law No. 19 of 1975 and its amendments.</w:t>
      </w:r>
    </w:p>
    <w:p>
      <w:pPr>
        <w:numPr>
          <w:ilvl w:val="0"/>
          <w:numId w:val="1003"/>
        </w:numPr>
        <w:pStyle w:val="Compact"/>
      </w:pPr>
      <w:r>
        <w:t xml:space="preserve">The client shall provide safe working conditions, access to well sites, and all necessary operational data within the Egypt Alexandria project boundaries.</w:t>
      </w:r>
    </w:p>
    <w:p>
      <w:pPr>
        <w:numPr>
          <w:ilvl w:val="0"/>
          <w:numId w:val="1003"/>
        </w:numPr>
        <w:pStyle w:val="Compact"/>
      </w:pPr>
      <w:r>
        <w:t xml:space="preserve">Any change in scope exceeding 10% of the original Quotation Estimate value shall be subject to a formal change order and a supplementary cost assessment.</w:t>
      </w:r>
    </w:p>
    <w:p>
      <w:pPr>
        <w:numPr>
          <w:ilvl w:val="0"/>
          <w:numId w:val="1003"/>
        </w:numPr>
        <w:pStyle w:val="Compact"/>
      </w:pPr>
      <w:r>
        <w:t xml:space="preserve">Confidentiality: All reservoir data, well logs, and production figures shared during the engagement are classified as proprietary. The Petroleum Engineer and all sub-consultants shall sign a Non-Disclosure Agreement prior to commencing work.</w:t>
      </w:r>
    </w:p>
    <w:p>
      <w:pPr>
        <w:numPr>
          <w:ilvl w:val="0"/>
          <w:numId w:val="1003"/>
        </w:numPr>
        <w:pStyle w:val="Compact"/>
      </w:pPr>
      <w:r>
        <w:t xml:space="preserve">Disputes arising from this Quotation Estimate shall be resolved through arbitration in accordance with the rules of the Egyptian Arbitration Center, with the seat of arbitration in Egypt Alexandria.</w:t>
      </w:r>
    </w:p>
    <w:p>
      <w:pPr>
        <w:numPr>
          <w:ilvl w:val="0"/>
          <w:numId w:val="1003"/>
        </w:numPr>
        <w:pStyle w:val="Compact"/>
      </w:pPr>
      <w:r>
        <w:t xml:space="preserve">Force majeure events, including but not limited to natural disasters, government sanctions, or civil unrest affecting the Egypt Alexandria region, shall suspend obligations without penalty for either party.</w:t>
      </w:r>
    </w:p>
    <w:p>
      <w:pPr>
        <w:pStyle w:val="FirstParagraph"/>
      </w:pPr>
      <w:r>
        <w:rPr>
          <w:bCs/>
          <w:b/>
        </w:rPr>
        <w:t xml:space="preserve">Note:</w:t>
      </w:r>
      <w:r>
        <w:t xml:space="preserve"> </w:t>
      </w:r>
      <w:r>
        <w:t xml:space="preserve">This Quotation Estimate does not include costs for major capital equipment procurement, seismic data acquisition beyond the scope stated, or any work outside the defined Egypt Alexandria operational zone. Additional services will be quoted separately upon written request.</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for Petroleum Engineer services in Egypt Alexandria and authorizes Alexandria Energy &amp; Petroleum Consulting Co. to proceed with the engagement as described herein.</w:t>
      </w:r>
    </w:p>
    <w:p>
      <w:pPr>
        <w:pStyle w:val="BodyText"/>
      </w:pPr>
      <w:r>
        <w:rPr>
          <w:bCs/>
          <w:b/>
        </w:rPr>
        <w:t xml:space="preserve">For the Client:</w:t>
      </w:r>
    </w:p>
    <w:p>
      <w:pPr>
        <w:pStyle w:val="BodyText"/>
      </w:pPr>
      <w:r>
        <w:t xml:space="preserve">Nile Delta Offshore Operations Ltd.</w:t>
      </w:r>
    </w:p>
    <w:p>
      <w:pPr>
        <w:pStyle w:val="BodyText"/>
      </w:pPr>
      <w:r>
        <w:t xml:space="preserve">Name / Signature / Date</w:t>
      </w:r>
    </w:p>
    <w:p>
      <w:pPr>
        <w:pStyle w:val="BodyText"/>
      </w:pPr>
      <w:r>
        <w:rPr>
          <w:bCs/>
          <w:b/>
        </w:rPr>
        <w:t xml:space="preserve">For Alexandria Energy &amp; Petroleum Consulting Co.:</w:t>
      </w:r>
    </w:p>
    <w:p>
      <w:pPr>
        <w:pStyle w:val="BodyText"/>
      </w:pPr>
      <w:r>
        <w:t xml:space="preserve">Eng. Mona Fathy – Senior Petroleum Engineer</w:t>
      </w:r>
    </w:p>
    <w:p>
      <w:pPr>
        <w:pStyle w:val="BodyText"/>
      </w:pPr>
      <w:r>
        <w:t xml:space="preserve">Name / Signature / Date</w:t>
      </w:r>
    </w:p>
    <w:p>
      <w:pPr>
        <w:pStyle w:val="BodyText"/>
      </w:pPr>
      <w:r>
        <w:t xml:space="preserve">Quotation Estimate No. QTE-2025-EG-0472 | Petroleum Engineer Services | Egypt Alexandria</w:t>
      </w:r>
    </w:p>
    <w:p>
      <w:pPr>
        <w:pStyle w:val="BodyText"/>
      </w:pPr>
      <w:r>
        <w:t xml:space="preserve">Alexandria Energy &amp; Petroleum Consulting Co. – 142 Corniche El-Nil, Smouha, Egypt Alexandria</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Egypt Alexandria</dc:title>
  <dc:creator/>
  <dc:language>en</dc:language>
  <cp:keywords/>
  <dcterms:created xsi:type="dcterms:W3CDTF">2026-10-10T02:35:13Z</dcterms:created>
  <dcterms:modified xsi:type="dcterms:W3CDTF">2026-10-10T02:35:13Z</dcterms:modified>
</cp:coreProperties>
</file>

<file path=docProps/custom.xml><?xml version="1.0" encoding="utf-8"?>
<Properties xmlns="http://schemas.openxmlformats.org/officeDocument/2006/custom-properties" xmlns:vt="http://schemas.openxmlformats.org/officeDocument/2006/docPropsVTypes"/>
</file>