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géo-ingénierie-sarl"/>
    <w:p>
      <w:pPr>
        <w:pStyle w:val="Heading1"/>
      </w:pPr>
      <w:r>
        <w:t xml:space="preserve">ProGéo Ingénierie SARL</w:t>
      </w:r>
    </w:p>
    <w:p>
      <w:pPr>
        <w:pStyle w:val="FirstParagraph"/>
      </w:pPr>
      <w:r>
        <w:t xml:space="preserve">12 Boulevard de la Canebière, 13001 Marseille, France</w:t>
      </w:r>
    </w:p>
    <w:p>
      <w:pPr>
        <w:pStyle w:val="BodyText"/>
      </w:pPr>
      <w:r>
        <w:t xml:space="preserve">Tel: +33 4 91 00 00 00 | Email: contact@progéo-ingenierie.fr</w:t>
      </w:r>
    </w:p>
    <w:p>
      <w:pPr>
        <w:pStyle w:val="BodyText"/>
      </w:pPr>
      <w:r>
        <w:t xml:space="preserve">SIRET: 842 567 890 00012 | TVA: FR 45 842567890</w:t>
      </w:r>
    </w:p>
    <w:bookmarkEnd w:id="20"/>
    <w:bookmarkStart w:id="21" w:name="quotation-estimate"/>
    <w:p>
      <w:pPr>
        <w:pStyle w:val="Heading2"/>
      </w:pPr>
      <w:r>
        <w:t xml:space="preserve">QUOTATION ESTIMATE</w:t>
      </w:r>
    </w:p>
    <w:p>
      <w:pPr>
        <w:pStyle w:val="FirstParagraph"/>
      </w:pPr>
      <w:r>
        <w:t xml:space="preserve">Reference: QE-2025-MRS-0472</w:t>
      </w:r>
    </w:p>
    <w:p>
      <w:pPr>
        <w:pStyle w:val="BodyText"/>
      </w:pPr>
      <w:r>
        <w:t xml:space="preserve">Date: 14 June 2025</w:t>
      </w:r>
    </w:p>
    <w:p>
      <w:pPr>
        <w:pStyle w:val="BodyText"/>
      </w:pPr>
      <w:r>
        <w:t xml:space="preserve">Valid Until: 14 July 2025</w:t>
      </w:r>
    </w:p>
    <w:bookmarkEnd w:id="21"/>
    <w:bookmarkStart w:id="24" w:name="parties-project-identification"/>
    <w:p>
      <w:pPr>
        <w:pStyle w:val="Heading3"/>
      </w:pPr>
      <w:r>
        <w:t xml:space="preserve">1. Parties &amp; Project Identification</w:t>
      </w:r>
    </w:p>
    <w:bookmarkStart w:id="22" w:name="prepared-for-client"/>
    <w:p>
      <w:pPr>
        <w:pStyle w:val="Heading4"/>
      </w:pPr>
      <w:r>
        <w:t xml:space="preserve">Prepared For (Client)</w:t>
      </w:r>
    </w:p>
    <w:p>
      <w:pPr>
        <w:pStyle w:val="FirstParagraph"/>
      </w:pPr>
      <w:r>
        <w:rPr>
          <w:bCs/>
          <w:b/>
        </w:rPr>
        <w:t xml:space="preserve">Company:</w:t>
      </w:r>
      <w:r>
        <w:t xml:space="preserve"> </w:t>
      </w:r>
      <w:r>
        <w:t xml:space="preserve">Méditerranée Énergie Offshore SA</w:t>
      </w:r>
    </w:p>
    <w:p>
      <w:pPr>
        <w:pStyle w:val="BodyText"/>
      </w:pPr>
      <w:r>
        <w:rPr>
          <w:bCs/>
          <w:b/>
        </w:rPr>
        <w:t xml:space="preserve">Address:</w:t>
      </w:r>
      <w:r>
        <w:t xml:space="preserve"> </w:t>
      </w:r>
      <w:r>
        <w:t xml:space="preserve">45 Quai de Rive Neuve, 13007 Marseille, France</w:t>
      </w:r>
    </w:p>
    <w:p>
      <w:pPr>
        <w:pStyle w:val="BodyText"/>
      </w:pPr>
      <w:r>
        <w:rPr>
          <w:bCs/>
          <w:b/>
        </w:rPr>
        <w:t xml:space="preserve">Contact:</w:t>
      </w:r>
      <w:r>
        <w:t xml:space="preserve"> </w:t>
      </w:r>
      <w:r>
        <w:t xml:space="preserve">Mr. Laurent Dubois, Director of Operations</w:t>
      </w:r>
    </w:p>
    <w:p>
      <w:pPr>
        <w:pStyle w:val="BodyText"/>
      </w:pPr>
      <w:r>
        <w:rPr>
          <w:bCs/>
          <w:b/>
        </w:rPr>
        <w:t xml:space="preserve">Email:</w:t>
      </w:r>
      <w:r>
        <w:t xml:space="preserve"> </w:t>
      </w:r>
      <w:r>
        <w:t xml:space="preserve">l.dubois@med-energie-offshore.fr</w:t>
      </w:r>
    </w:p>
    <w:bookmarkEnd w:id="22"/>
    <w:bookmarkStart w:id="23" w:name="project-details"/>
    <w:p>
      <w:pPr>
        <w:pStyle w:val="Heading4"/>
      </w:pPr>
      <w:r>
        <w:t xml:space="preserve">Project Details</w:t>
      </w:r>
    </w:p>
    <w:p>
      <w:pPr>
        <w:pStyle w:val="FirstParagraph"/>
      </w:pPr>
      <w:r>
        <w:rPr>
          <w:bCs/>
          <w:b/>
        </w:rPr>
        <w:t xml:space="preserve">Project Title:</w:t>
      </w:r>
      <w:r>
        <w:t xml:space="preserve"> </w:t>
      </w:r>
      <w:r>
        <w:t xml:space="preserve">Offshore Reservoir Assessment – Gulf of Lion Sector</w:t>
      </w:r>
    </w:p>
    <w:p>
      <w:pPr>
        <w:pStyle w:val="BodyText"/>
      </w:pPr>
      <w:r>
        <w:rPr>
          <w:bCs/>
          <w:b/>
        </w:rPr>
        <w:t xml:space="preserve">Location:</w:t>
      </w:r>
      <w:r>
        <w:t xml:space="preserve"> </w:t>
      </w:r>
      <w:r>
        <w:t xml:space="preserve">France Marseille (HQ) / Offshore Mediterranean Platform</w:t>
      </w:r>
    </w:p>
    <w:p>
      <w:pPr>
        <w:pStyle w:val="BodyText"/>
      </w:pPr>
      <w:r>
        <w:rPr>
          <w:bCs/>
          <w:b/>
        </w:rPr>
        <w:t xml:space="preserve">Duration:</w:t>
      </w:r>
      <w:r>
        <w:t xml:space="preserve"> </w:t>
      </w:r>
      <w:r>
        <w:t xml:space="preserve">12 months (July 2025 – June 2026)</w:t>
      </w:r>
    </w:p>
    <w:p>
      <w:pPr>
        <w:pStyle w:val="BodyText"/>
      </w:pPr>
      <w:r>
        <w:rPr>
          <w:bCs/>
          <w:b/>
        </w:rPr>
        <w:t xml:space="preserve">Reference:</w:t>
      </w:r>
      <w:r>
        <w:t xml:space="preserve"> </w:t>
      </w:r>
      <w:r>
        <w:t xml:space="preserve">MEO-2025-RES-011</w:t>
      </w:r>
    </w:p>
    <w:bookmarkEnd w:id="23"/>
    <w:bookmarkEnd w:id="24"/>
    <w:bookmarkStart w:id="25" w:name="X172d1c808c4414fdba3465075e4be1d7d1ef344"/>
    <w:p>
      <w:pPr>
        <w:pStyle w:val="Heading3"/>
      </w:pPr>
      <w:r>
        <w:t xml:space="preserve">2. Scope of Work – Petroleum Engineer Services</w:t>
      </w:r>
    </w:p>
    <w:p>
      <w:pPr>
        <w:pStyle w:val="FirstParagraph"/>
      </w:pPr>
      <w:r>
        <w:t xml:space="preserve">This</w:t>
      </w:r>
      <w:r>
        <w:t xml:space="preserve"> </w:t>
      </w:r>
      <w:r>
        <w:t xml:space="preserve">Quotation Estimate</w:t>
      </w:r>
      <w:r>
        <w:t xml:space="preserve"> </w:t>
      </w:r>
      <w:r>
        <w:t xml:space="preserve">is issued by ProGéo Ingénierie SARL to Méditerranée Énergie Offshore SA for the provision of specialised</w:t>
      </w:r>
      <w:r>
        <w:t xml:space="preserve"> </w:t>
      </w:r>
      <w:r>
        <w:t xml:space="preserve">Petroleum Engineer</w:t>
      </w:r>
      <w:r>
        <w:t xml:space="preserve"> </w:t>
      </w:r>
      <w:r>
        <w:t xml:space="preserve">consultancy services to be executed primarily from our offices in</w:t>
      </w:r>
      <w:r>
        <w:t xml:space="preserve"> </w:t>
      </w:r>
      <w:r>
        <w:t xml:space="preserve">France Marseille</w:t>
      </w:r>
      <w:r>
        <w:t xml:space="preserve">, with periodic site visits to the offshore platform located in the Gulf of Lion. The scope encompasses reservoir characterisation, production optimisation, well integrity assessment, and technical reporting in compliance with French regulatory standards (Code de l'Énergie) and European Union directives applicable to hydrocarbon operations.</w:t>
      </w:r>
    </w:p>
    <w:p>
      <w:pPr>
        <w:pStyle w:val="BodyText"/>
      </w:pPr>
      <w:r>
        <w:t xml:space="preserve">The</w:t>
      </w:r>
      <w:r>
        <w:t xml:space="preserve"> </w:t>
      </w:r>
      <w:r>
        <w:t xml:space="preserve">Petroleum Engineer</w:t>
      </w:r>
      <w:r>
        <w:t xml:space="preserve"> </w:t>
      </w:r>
      <w:r>
        <w:t xml:space="preserve">assigned to this engagement will hold a minimum of fifteen (15) years of progressive experience in offshore reservoir engineering, a Chartered Engineer (Ingénieur Diplômé) designation from a French grande école, and full professional liability insurance as mandated by French law. All deliverables will be produced in French and English to satisfy both local regulatory bodies in</w:t>
      </w:r>
      <w:r>
        <w:t xml:space="preserve"> </w:t>
      </w:r>
      <w:r>
        <w:t xml:space="preserve">France Marseille</w:t>
      </w:r>
      <w:r>
        <w:t xml:space="preserve"> </w:t>
      </w:r>
      <w:r>
        <w:t xml:space="preserve">and the client's international stakeholders.</w:t>
      </w:r>
    </w:p>
    <w:bookmarkEnd w:id="25"/>
    <w:bookmarkStart w:id="26"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3.1</w:t>
            </w:r>
          </w:p>
        </w:tc>
        <w:tc>
          <w:tcPr/>
          <w:p>
            <w:pPr>
              <w:pStyle w:val="Compact"/>
              <w:jc w:val="left"/>
            </w:pPr>
            <w:r>
              <w:t xml:space="preserve">Senior Petroleum Engineer – Reservoir Modelling &amp; Simulation (Eclipse / tNavigator)</w:t>
            </w:r>
          </w:p>
        </w:tc>
        <w:tc>
          <w:tcPr/>
          <w:p>
            <w:pPr>
              <w:pStyle w:val="Compact"/>
              <w:jc w:val="left"/>
            </w:pPr>
            <w:r>
              <w:t xml:space="preserve">12 months</w:t>
            </w:r>
          </w:p>
        </w:tc>
        <w:tc>
          <w:tcPr/>
          <w:p>
            <w:pPr>
              <w:pStyle w:val="Compact"/>
              <w:jc w:val="left"/>
            </w:pPr>
            <w:r>
              <w:t xml:space="preserve">€1,850 / day</w:t>
            </w:r>
          </w:p>
        </w:tc>
        <w:tc>
          <w:tcPr/>
          <w:p>
            <w:pPr>
              <w:pStyle w:val="Compact"/>
              <w:jc w:val="left"/>
            </w:pPr>
            <w:r>
              <w:t xml:space="preserve">€468,000.00</w:t>
            </w:r>
          </w:p>
        </w:tc>
        <w:tc>
          <w:tcPr/>
          <w:p>
            <w:pPr>
              <w:pStyle w:val="Compact"/>
              <w:jc w:val="left"/>
            </w:pPr>
            <w:r>
              <w:t xml:space="preserve">220 working days</w:t>
            </w:r>
          </w:p>
        </w:tc>
      </w:tr>
      <w:tr>
        <w:tc>
          <w:tcPr/>
          <w:p>
            <w:pPr>
              <w:pStyle w:val="Compact"/>
              <w:jc w:val="left"/>
            </w:pPr>
            <w:r>
              <w:t xml:space="preserve">3.2</w:t>
            </w:r>
          </w:p>
        </w:tc>
        <w:tc>
          <w:tcPr/>
          <w:p>
            <w:pPr>
              <w:pStyle w:val="Compact"/>
              <w:jc w:val="left"/>
            </w:pPr>
            <w:r>
              <w:t xml:space="preserve">Petroleum Engineer – Well Integrity &amp; Completion Review</w:t>
            </w:r>
          </w:p>
        </w:tc>
        <w:tc>
          <w:tcPr/>
          <w:p>
            <w:pPr>
              <w:pStyle w:val="Compact"/>
              <w:jc w:val="left"/>
            </w:pPr>
            <w:r>
              <w:t xml:space="preserve">6 months</w:t>
            </w:r>
          </w:p>
        </w:tc>
        <w:tc>
          <w:tcPr/>
          <w:p>
            <w:pPr>
              <w:pStyle w:val="Compact"/>
              <w:jc w:val="left"/>
            </w:pPr>
            <w:r>
              <w:t xml:space="preserve">€1,450 / day</w:t>
            </w:r>
          </w:p>
        </w:tc>
        <w:tc>
          <w:tcPr/>
          <w:p>
            <w:pPr>
              <w:pStyle w:val="Compact"/>
              <w:jc w:val="left"/>
            </w:pPr>
            <w:r>
              <w:t xml:space="preserve">€193,500.00</w:t>
            </w:r>
          </w:p>
        </w:tc>
        <w:tc>
          <w:tcPr/>
          <w:p>
            <w:pPr>
              <w:pStyle w:val="Compact"/>
              <w:jc w:val="left"/>
            </w:pPr>
            <w:r>
              <w:t xml:space="preserve">115 working days</w:t>
            </w:r>
          </w:p>
        </w:tc>
      </w:tr>
      <w:tr>
        <w:tc>
          <w:tcPr/>
          <w:p>
            <w:pPr>
              <w:pStyle w:val="Compact"/>
              <w:jc w:val="left"/>
            </w:pPr>
            <w:r>
              <w:t xml:space="preserve">3.3</w:t>
            </w:r>
          </w:p>
        </w:tc>
        <w:tc>
          <w:tcPr/>
          <w:p>
            <w:pPr>
              <w:pStyle w:val="Compact"/>
              <w:jc w:val="left"/>
            </w:pPr>
            <w:r>
              <w:t xml:space="preserve">Offshore Site Visits – Gulf of Lion Platform (France Marseille base)</w:t>
            </w:r>
          </w:p>
        </w:tc>
        <w:tc>
          <w:tcPr/>
          <w:p>
            <w:pPr>
              <w:pStyle w:val="Compact"/>
              <w:jc w:val="left"/>
            </w:pPr>
            <w:r>
              <w:t xml:space="preserve">8 visits</w:t>
            </w:r>
          </w:p>
        </w:tc>
        <w:tc>
          <w:tcPr/>
          <w:p>
            <w:pPr>
              <w:pStyle w:val="Compact"/>
              <w:jc w:val="left"/>
            </w:pPr>
            <w:r>
              <w:t xml:space="preserve">€3,200 / visit</w:t>
            </w:r>
          </w:p>
        </w:tc>
        <w:tc>
          <w:tcPr/>
          <w:p>
            <w:pPr>
              <w:pStyle w:val="Compact"/>
              <w:jc w:val="left"/>
            </w:pPr>
            <w:r>
              <w:t xml:space="preserve">€25,600.00</w:t>
            </w:r>
          </w:p>
        </w:tc>
        <w:tc>
          <w:tcPr/>
          <w:p>
            <w:pPr>
              <w:pStyle w:val="Compact"/>
              <w:jc w:val="left"/>
            </w:pPr>
            <w:r>
              <w:t xml:space="preserve">Incl. travel, accommodation, HSE compliance</w:t>
            </w:r>
          </w:p>
        </w:tc>
      </w:tr>
      <w:tr>
        <w:tc>
          <w:tcPr/>
          <w:p>
            <w:pPr>
              <w:pStyle w:val="Compact"/>
              <w:jc w:val="left"/>
            </w:pPr>
            <w:r>
              <w:t xml:space="preserve">3.4</w:t>
            </w:r>
          </w:p>
        </w:tc>
        <w:tc>
          <w:tcPr/>
          <w:p>
            <w:pPr>
              <w:pStyle w:val="Compact"/>
              <w:jc w:val="left"/>
            </w:pPr>
            <w:r>
              <w:t xml:space="preserve">Technical Reporting &amp; Regulatory Filings (DGEC, DREAL PACA)</w:t>
            </w:r>
          </w:p>
        </w:tc>
        <w:tc>
          <w:tcPr/>
          <w:p>
            <w:pPr>
              <w:pStyle w:val="Compact"/>
              <w:jc w:val="left"/>
            </w:pPr>
            <w:r>
              <w:t xml:space="preserve">Quarterly</w:t>
            </w:r>
          </w:p>
        </w:tc>
        <w:tc>
          <w:tcPr/>
          <w:p>
            <w:pPr>
              <w:pStyle w:val="Compact"/>
              <w:jc w:val="left"/>
            </w:pPr>
            <w:r>
              <w:t xml:space="preserve">€8,500 / report</w:t>
            </w:r>
          </w:p>
        </w:tc>
        <w:tc>
          <w:tcPr/>
          <w:p>
            <w:pPr>
              <w:pStyle w:val="Compact"/>
              <w:jc w:val="left"/>
            </w:pPr>
            <w:r>
              <w:t xml:space="preserve">€34,000.00</w:t>
            </w:r>
          </w:p>
        </w:tc>
        <w:tc>
          <w:tcPr/>
          <w:p>
            <w:pPr>
              <w:pStyle w:val="Compact"/>
              <w:jc w:val="left"/>
            </w:pPr>
            <w:r>
              <w:t xml:space="preserve">4 reports per year</w:t>
            </w:r>
          </w:p>
        </w:tc>
      </w:tr>
      <w:tr>
        <w:tc>
          <w:tcPr/>
          <w:p>
            <w:pPr>
              <w:pStyle w:val="Compact"/>
              <w:jc w:val="left"/>
            </w:pPr>
            <w:r>
              <w:t xml:space="preserve">3.5</w:t>
            </w:r>
          </w:p>
        </w:tc>
        <w:tc>
          <w:tcPr/>
          <w:p>
            <w:pPr>
              <w:pStyle w:val="Compact"/>
              <w:jc w:val="left"/>
            </w:pPr>
            <w:r>
              <w:t xml:space="preserve">Production Optimisation Study – Decline Curve Analysis</w:t>
            </w:r>
          </w:p>
        </w:tc>
        <w:tc>
          <w:tcPr/>
          <w:p>
            <w:pPr>
              <w:pStyle w:val="Compact"/>
              <w:jc w:val="left"/>
            </w:pPr>
            <w:r>
              <w:t xml:space="preserve">3 months</w:t>
            </w:r>
          </w:p>
        </w:tc>
        <w:tc>
          <w:tcPr/>
          <w:p>
            <w:pPr>
              <w:pStyle w:val="Compact"/>
              <w:jc w:val="left"/>
            </w:pPr>
            <w:r>
              <w:t xml:space="preserve">€1,600 / day</w:t>
            </w:r>
          </w:p>
        </w:tc>
        <w:tc>
          <w:tcPr/>
          <w:p>
            <w:pPr>
              <w:pStyle w:val="Compact"/>
              <w:jc w:val="left"/>
            </w:pPr>
            <w:r>
              <w:t xml:space="preserve">€105,600.00</w:t>
            </w:r>
          </w:p>
        </w:tc>
        <w:tc>
          <w:tcPr/>
          <w:p>
            <w:pPr>
              <w:pStyle w:val="Compact"/>
              <w:jc w:val="left"/>
            </w:pPr>
            <w:r>
              <w:t xml:space="preserve">66 working days</w:t>
            </w:r>
          </w:p>
        </w:tc>
      </w:tr>
      <w:tr>
        <w:tc>
          <w:tcPr/>
          <w:p>
            <w:pPr>
              <w:pStyle w:val="Compact"/>
              <w:jc w:val="left"/>
            </w:pPr>
            <w:r>
              <w:t xml:space="preserve">3.6</w:t>
            </w:r>
          </w:p>
        </w:tc>
        <w:tc>
          <w:tcPr/>
          <w:p>
            <w:pPr>
              <w:pStyle w:val="Compact"/>
              <w:jc w:val="left"/>
            </w:pPr>
            <w:r>
              <w:t xml:space="preserve">Software Licences &amp; Computational Resources (annual)</w:t>
            </w:r>
          </w:p>
        </w:tc>
        <w:tc>
          <w:tcPr/>
          <w:p>
            <w:pPr>
              <w:pStyle w:val="Compact"/>
              <w:jc w:val="left"/>
            </w:pPr>
            <w:r>
              <w:t xml:space="preserve">12 months</w:t>
            </w:r>
          </w:p>
        </w:tc>
        <w:tc>
          <w:tcPr/>
          <w:p>
            <w:pPr>
              <w:pStyle w:val="Compact"/>
              <w:jc w:val="left"/>
            </w:pPr>
            <w:r>
              <w:t xml:space="preserve">€12,000 / yr</w:t>
            </w:r>
          </w:p>
        </w:tc>
        <w:tc>
          <w:tcPr/>
          <w:p>
            <w:pPr>
              <w:pStyle w:val="Compact"/>
              <w:jc w:val="left"/>
            </w:pPr>
            <w:r>
              <w:t xml:space="preserve">€12,000.00</w:t>
            </w:r>
          </w:p>
        </w:tc>
        <w:tc>
          <w:tcPr/>
          <w:p>
            <w:pPr>
              <w:pStyle w:val="Compact"/>
              <w:jc w:val="left"/>
            </w:pPr>
            <w:r>
              <w:t xml:space="preserve">Schlumberger, Halliburton tools</w:t>
            </w:r>
          </w:p>
        </w:tc>
      </w:tr>
      <w:tr>
        <w:tc>
          <w:tcPr/>
          <w:p>
            <w:pPr>
              <w:pStyle w:val="Compact"/>
              <w:jc w:val="left"/>
            </w:pPr>
            <w:r>
              <w:t xml:space="preserve">3.7</w:t>
            </w:r>
          </w:p>
        </w:tc>
        <w:tc>
          <w:tcPr/>
          <w:p>
            <w:pPr>
              <w:pStyle w:val="Compact"/>
              <w:jc w:val="left"/>
            </w:pPr>
            <w:r>
              <w:t xml:space="preserve">Project Management &amp; Coordination (France Marseille office)</w:t>
            </w:r>
          </w:p>
        </w:tc>
        <w:tc>
          <w:tcPr/>
          <w:p>
            <w:pPr>
              <w:pStyle w:val="Compact"/>
              <w:jc w:val="left"/>
            </w:pPr>
            <w:r>
              <w:t xml:space="preserve">12 months</w:t>
            </w:r>
          </w:p>
        </w:tc>
        <w:tc>
          <w:tcPr/>
          <w:p>
            <w:pPr>
              <w:pStyle w:val="Compact"/>
              <w:jc w:val="left"/>
            </w:pPr>
            <w:r>
              <w:t xml:space="preserve">€950 / day</w:t>
            </w:r>
          </w:p>
        </w:tc>
        <w:tc>
          <w:tcPr/>
          <w:p>
            <w:pPr>
              <w:pStyle w:val="Compact"/>
              <w:jc w:val="left"/>
            </w:pPr>
            <w:r>
              <w:t xml:space="preserve">€209,000.00</w:t>
            </w:r>
          </w:p>
        </w:tc>
        <w:tc>
          <w:tcPr/>
          <w:p>
            <w:pPr>
              <w:pStyle w:val="Compact"/>
              <w:jc w:val="left"/>
            </w:pPr>
            <w:r>
              <w:t xml:space="preserve">220 working days</w:t>
            </w:r>
          </w:p>
        </w:tc>
      </w:tr>
      <w:tr>
        <w:tc>
          <w:tcPr>
            <w:gridSpan w:val="4"/>
          </w:tcPr>
          <w:p>
            <w:pPr>
              <w:pStyle w:val="Compact"/>
              <w:jc w:val="right"/>
            </w:pPr>
            <w:r>
              <w:t xml:space="preserve">Subtotal (Excl. VAT)</w:t>
            </w:r>
          </w:p>
        </w:tc>
        <w:tc>
          <w:tcPr/>
          <w:p>
            <w:pPr>
              <w:pStyle w:val="Compact"/>
              <w:jc w:val="left"/>
            </w:pPr>
            <w:r>
              <w:t xml:space="preserve">€1,247,700.00</w:t>
            </w:r>
          </w:p>
        </w:tc>
        <w:tc>
          <w:tcPr/>
          <w:p>
            <w:pPr>
              <w:pStyle w:val="Compact"/>
            </w:pPr>
          </w:p>
        </w:tc>
      </w:tr>
      <w:tr>
        <w:tc>
          <w:tcPr>
            <w:gridSpan w:val="4"/>
          </w:tcPr>
          <w:p>
            <w:pPr>
              <w:pStyle w:val="Compact"/>
              <w:jc w:val="right"/>
            </w:pPr>
            <w:r>
              <w:t xml:space="preserve">VAT (TVA) – 20%</w:t>
            </w:r>
          </w:p>
        </w:tc>
        <w:tc>
          <w:tcPr/>
          <w:p>
            <w:pPr>
              <w:pStyle w:val="Compact"/>
              <w:jc w:val="left"/>
            </w:pPr>
            <w:r>
              <w:t xml:space="preserve">€249,540.00</w:t>
            </w:r>
          </w:p>
        </w:tc>
        <w:tc>
          <w:tcPr/>
          <w:p>
            <w:pPr>
              <w:pStyle w:val="Compact"/>
              <w:jc w:val="left"/>
            </w:pPr>
            <w:r>
              <w:t xml:space="preserve">French standard rate</w:t>
            </w:r>
          </w:p>
        </w:tc>
      </w:tr>
      <w:tr>
        <w:tc>
          <w:tcPr>
            <w:gridSpan w:val="4"/>
          </w:tcPr>
          <w:p>
            <w:pPr>
              <w:pStyle w:val="Compact"/>
              <w:jc w:val="right"/>
            </w:pPr>
            <w:r>
              <w:t xml:space="preserve">GRAND TOTAL (Incl. VAT)</w:t>
            </w:r>
          </w:p>
        </w:tc>
        <w:tc>
          <w:tcPr/>
          <w:p>
            <w:pPr>
              <w:pStyle w:val="Compact"/>
              <w:jc w:val="left"/>
            </w:pPr>
            <w:r>
              <w:t xml:space="preserve">€1,497,240.00</w:t>
            </w:r>
          </w:p>
        </w:tc>
        <w:tc>
          <w:tcPr/>
          <w:p>
            <w:pPr>
              <w:pStyle w:val="Compact"/>
            </w:pPr>
          </w:p>
        </w:tc>
      </w:tr>
    </w:tbl>
    <w:bookmarkEnd w:id="26"/>
    <w:bookmarkStart w:id="27" w:name="X06f751c0fef37426aad28df54ec1acd620508e5"/>
    <w:p>
      <w:pPr>
        <w:pStyle w:val="Heading3"/>
      </w:pPr>
      <w:r>
        <w:t xml:space="preserve">4. Terms &amp; Conditions of This Quotation Estimate</w:t>
      </w:r>
    </w:p>
    <w:p>
      <w:pPr>
        <w:numPr>
          <w:ilvl w:val="0"/>
          <w:numId w:val="1001"/>
        </w:numPr>
        <w:pStyle w:val="Compact"/>
      </w:pPr>
      <w:r>
        <w:rPr>
          <w:bCs/>
          <w:b/>
        </w:rPr>
        <w:t xml:space="preserve">4.1 Validity:</w:t>
      </w:r>
      <w:r>
        <w:t xml:space="preserve"> </w:t>
      </w:r>
      <w:r>
        <w:t xml:space="preserve">This Quotation Estimate is valid for thirty (30) calendar days from the date of issue. Beyond this period, pricing may be revised to reflect market conditions in the France Marseille engineering sector.</w:t>
      </w:r>
    </w:p>
    <w:p>
      <w:pPr>
        <w:numPr>
          <w:ilvl w:val="0"/>
          <w:numId w:val="1001"/>
        </w:numPr>
        <w:pStyle w:val="Compact"/>
      </w:pPr>
      <w:r>
        <w:rPr>
          <w:bCs/>
          <w:b/>
        </w:rPr>
        <w:t xml:space="preserve">4.2 Payment Terms:</w:t>
      </w:r>
      <w:r>
        <w:t xml:space="preserve"> </w:t>
      </w:r>
      <w:r>
        <w:t xml:space="preserve">Invoicing shall be issued monthly in arrears. Payment is due within thirty (30) days of invoice date by bank transfer to the account of ProGéo Ingénierie SARL, BNP Paribas, Marseille. A late payment penalty of 1.5% per month shall apply in accordance with French commercial law (Article L441-10 du Code de commerce).</w:t>
      </w:r>
    </w:p>
    <w:p>
      <w:pPr>
        <w:numPr>
          <w:ilvl w:val="0"/>
          <w:numId w:val="1001"/>
        </w:numPr>
        <w:pStyle w:val="Compact"/>
      </w:pPr>
      <w:r>
        <w:rPr>
          <w:bCs/>
          <w:b/>
        </w:rPr>
        <w:t xml:space="preserve">4.3 Mobilisation:</w:t>
      </w:r>
      <w:r>
        <w:t xml:space="preserve"> </w:t>
      </w:r>
      <w:r>
        <w:t xml:space="preserve">A mobilisation fee of 10% of the total contract value (€149,724.00) is due upon signature of the service agreement and prior to the commencement of Petroleum Engineer fieldwork.</w:t>
      </w:r>
    </w:p>
    <w:p>
      <w:pPr>
        <w:numPr>
          <w:ilvl w:val="0"/>
          <w:numId w:val="1001"/>
        </w:numPr>
        <w:pStyle w:val="Compact"/>
      </w:pPr>
      <w:r>
        <w:rPr>
          <w:bCs/>
          <w:b/>
        </w:rPr>
        <w:t xml:space="preserve">4.4 Intellectual Property:</w:t>
      </w:r>
      <w:r>
        <w:t xml:space="preserve"> </w:t>
      </w:r>
      <w:r>
        <w:t xml:space="preserve">All reports, models, and deliverables produced by the Petroleum Engineer under this engagement shall become the exclusive property of Méditerranée Énergie Offshore SA upon full payment. ProGéo Ingénierie SARL retains the right to reference the project in anonymised portfolio materials.</w:t>
      </w:r>
    </w:p>
    <w:p>
      <w:pPr>
        <w:numPr>
          <w:ilvl w:val="0"/>
          <w:numId w:val="1001"/>
        </w:numPr>
        <w:pStyle w:val="Compact"/>
      </w:pPr>
      <w:r>
        <w:rPr>
          <w:bCs/>
          <w:b/>
        </w:rPr>
        <w:t xml:space="preserve">4.5 Health, Safety &amp; Environment (HSE):</w:t>
      </w:r>
      <w:r>
        <w:t xml:space="preserve"> </w:t>
      </w:r>
      <w:r>
        <w:t xml:space="preserve">All personnel deployed to the offshore platform shall comply with the client's HSE plan, French maritime safety regulations (Code des Transports, Livre II), and EU Directive 2013/30/EU on major accident hazards. The Petroleum Engineer must hold a valid offshore medical certificate and complete the client's site-specific induction prior to first mobilisation.</w:t>
      </w:r>
    </w:p>
    <w:p>
      <w:pPr>
        <w:numPr>
          <w:ilvl w:val="0"/>
          <w:numId w:val="1001"/>
        </w:numPr>
        <w:pStyle w:val="Compact"/>
      </w:pPr>
      <w:r>
        <w:rPr>
          <w:bCs/>
          <w:b/>
        </w:rPr>
        <w:t xml:space="preserve">4.6 Confidentiality:</w:t>
      </w:r>
      <w:r>
        <w:t xml:space="preserve"> </w:t>
      </w:r>
      <w:r>
        <w:t xml:space="preserve">Both parties agree to maintain strict confidentiality regarding reservoir data, production figures, and proprietary modelling results. A separate Non-Disclosure Agreement (NDA) shall be executed concurrently with this Quotation Estimate acceptance.</w:t>
      </w:r>
    </w:p>
    <w:p>
      <w:pPr>
        <w:numPr>
          <w:ilvl w:val="0"/>
          <w:numId w:val="1001"/>
        </w:numPr>
        <w:pStyle w:val="Compact"/>
      </w:pPr>
      <w:r>
        <w:rPr>
          <w:bCs/>
          <w:b/>
        </w:rPr>
        <w:t xml:space="preserve">4.7 Force Majeure:</w:t>
      </w:r>
      <w:r>
        <w:t xml:space="preserve"> </w:t>
      </w:r>
      <w:r>
        <w:t xml:space="preserve">Neither party shall be liable for delays caused by events beyond reasonable control, including but not limited to severe Mediterranean weather events affecting platform access from France Marseille, government-imposed operational suspensions, or pandemics.</w:t>
      </w:r>
    </w:p>
    <w:p>
      <w:pPr>
        <w:numPr>
          <w:ilvl w:val="0"/>
          <w:numId w:val="1001"/>
        </w:numPr>
        <w:pStyle w:val="Compact"/>
      </w:pPr>
      <w:r>
        <w:rPr>
          <w:bCs/>
          <w:b/>
        </w:rPr>
        <w:t xml:space="preserve">4.8 Dispute Resolution:</w:t>
      </w:r>
      <w:r>
        <w:t xml:space="preserve"> </w:t>
      </w:r>
      <w:r>
        <w:t xml:space="preserve">Any dispute arising from this Quotation Estimate or the resulting service agreement shall be submitted to the exclusive jurisdiction of the Tribunal de Commerce de Marseille, France. The governing law shall be French law.</w:t>
      </w:r>
    </w:p>
    <w:p>
      <w:pPr>
        <w:numPr>
          <w:ilvl w:val="0"/>
          <w:numId w:val="1001"/>
        </w:numPr>
        <w:pStyle w:val="Compact"/>
      </w:pPr>
      <w:r>
        <w:rPr>
          <w:bCs/>
          <w:b/>
        </w:rPr>
        <w:t xml:space="preserve">4.9 Subcontracting:</w:t>
      </w:r>
      <w:r>
        <w:t xml:space="preserve"> </w:t>
      </w:r>
      <w:r>
        <w:t xml:space="preserve">ProGéo Ingénierie SARL shall not subcontract any Petroleum Engineer services without prior written consent from the client. All personnel shall be direct employees of ProGéo Ingénierie SARL.</w:t>
      </w:r>
    </w:p>
    <w:p>
      <w:pPr>
        <w:numPr>
          <w:ilvl w:val="0"/>
          <w:numId w:val="1001"/>
        </w:numPr>
        <w:pStyle w:val="Compact"/>
      </w:pPr>
      <w:r>
        <w:rPr>
          <w:bCs/>
          <w:b/>
        </w:rPr>
        <w:t xml:space="preserve">4.10 Currency:</w:t>
      </w:r>
      <w:r>
        <w:t xml:space="preserve"> </w:t>
      </w:r>
      <w:r>
        <w:t xml:space="preserve">All amounts in this Quotation Estimate are expressed in Euros (EUR). No currency adjustment clause applies.</w:t>
      </w:r>
    </w:p>
    <w:bookmarkEnd w:id="27"/>
    <w:bookmarkStart w:id="28" w:name="acceptance"/>
    <w:p>
      <w:pPr>
        <w:pStyle w:val="Heading3"/>
      </w:pPr>
      <w:r>
        <w:t xml:space="preserve">5. Acceptance</w:t>
      </w:r>
    </w:p>
    <w:p>
      <w:pPr>
        <w:pStyle w:val="FirstParagraph"/>
      </w:pPr>
      <w:r>
        <w:t xml:space="preserve">By signing below, the client acknowledges receipt of this Quotation Estimate for Petroleum Engineer services in France Marseille and agrees to the terms, conditions, and pricing outlined herein. This document, once countersigned by both parties, constitutes a binding service agreement for the duration specified in Section 1.</w:t>
      </w:r>
    </w:p>
    <w:bookmarkEnd w:id="28"/>
    <w:p>
      <w:pPr>
        <w:pStyle w:val="BodyText"/>
      </w:pPr>
      <w:r>
        <w:rPr>
          <w:bCs/>
          <w:b/>
        </w:rPr>
        <w:t xml:space="preserve">For ProGéo Ingénierie SARL</w:t>
      </w:r>
    </w:p>
    <w:p>
      <w:pPr>
        <w:pStyle w:val="BodyText"/>
      </w:pPr>
      <w:r>
        <w:t xml:space="preserve">Name: Dr. Sophie Marchand</w:t>
      </w:r>
    </w:p>
    <w:p>
      <w:pPr>
        <w:pStyle w:val="BodyText"/>
      </w:pPr>
      <w:r>
        <w:t xml:space="preserve">Title: Managing Director</w:t>
      </w:r>
    </w:p>
    <w:p>
      <w:pPr>
        <w:pStyle w:val="BodyText"/>
      </w:pPr>
      <w:r>
        <w:t xml:space="preserve">Signature &amp; Date</w:t>
      </w:r>
    </w:p>
    <w:p>
      <w:pPr>
        <w:pStyle w:val="BodyText"/>
      </w:pPr>
      <w:r>
        <w:rPr>
          <w:bCs/>
          <w:b/>
        </w:rPr>
        <w:t xml:space="preserve">For Méditerranée Énergie Offshore SA</w:t>
      </w:r>
    </w:p>
    <w:p>
      <w:pPr>
        <w:pStyle w:val="BodyText"/>
      </w:pPr>
      <w:r>
        <w:t xml:space="preserve">Name: Mr. Laurent Dubois</w:t>
      </w:r>
    </w:p>
    <w:p>
      <w:pPr>
        <w:pStyle w:val="BodyText"/>
      </w:pPr>
      <w:r>
        <w:t xml:space="preserve">Title: Director of Operations</w:t>
      </w:r>
    </w:p>
    <w:p>
      <w:pPr>
        <w:pStyle w:val="BodyText"/>
      </w:pPr>
      <w:r>
        <w:t xml:space="preserve">Signature &amp; Date</w:t>
      </w:r>
    </w:p>
    <w:p>
      <w:pPr>
        <w:pStyle w:val="BodyText"/>
      </w:pPr>
      <w:r>
        <w:rPr>
          <w:bCs/>
          <w:b/>
        </w:rPr>
        <w:t xml:space="preserve">Important Notice:</w:t>
      </w:r>
      <w:r>
        <w:t xml:space="preserve"> </w:t>
      </w:r>
      <w:r>
        <w:t xml:space="preserve">This Quotation Estimate (Ref. QE-2025-MRS-0472) is a commercial document issued by ProGéo Ingénierie SARL, a French limited liability company (Société à Responsabilité Limitée) registered in Marseille, France. It does not constitute a final contract until countersigned by both parties. All Petroleum Engineer services described herein are subject to the availability of qualified personnel and regulatory approvals from the Direction Générale de l'Énergie et du Climat (DGEC). For any queries regarding this estimate, please contact our France Marseille office at +33 4 91 00 00 00 or by email at contact@progéo-ingenierie.fr.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France Marseille</dc:title>
  <dc:creator/>
  <dc:language>en</dc:language>
  <cp:keywords/>
  <dcterms:created xsi:type="dcterms:W3CDTF">2026-10-10T04:06:36Z</dcterms:created>
  <dcterms:modified xsi:type="dcterms:W3CDTF">2026-10-10T04:06:36Z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