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geotech-engineering-solutions-gmbh"/>
    <w:p>
      <w:pPr>
        <w:pStyle w:val="Heading1"/>
      </w:pPr>
      <w:r>
        <w:t xml:space="preserve">GeoTech Engineering Solutions GmbH</w:t>
      </w:r>
    </w:p>
    <w:p>
      <w:pPr>
        <w:pStyle w:val="FirstParagraph"/>
      </w:pPr>
      <w:r>
        <w:t xml:space="preserve">Unter den Linden 145, 10117 Berlin, Germany</w:t>
      </w:r>
    </w:p>
    <w:p>
      <w:pPr>
        <w:pStyle w:val="BodyText"/>
      </w:pPr>
      <w:r>
        <w:t xml:space="preserve">Tel: +49 30 5555 8900 | Email: quotations@geotech-berlin.de</w:t>
      </w:r>
    </w:p>
    <w:p>
      <w:pPr>
        <w:pStyle w:val="BodyText"/>
      </w:pPr>
      <w:r>
        <w:t xml:space="preserve">USt-IdNr: DE 312 456 789</w:t>
      </w:r>
    </w:p>
    <w:bookmarkEnd w:id="20"/>
    <w:bookmarkStart w:id="21" w:name="quotation-estimate"/>
    <w:p>
      <w:pPr>
        <w:pStyle w:val="Heading2"/>
      </w:pPr>
      <w:r>
        <w:t xml:space="preserve">QUOTATION ESTIMATE</w:t>
      </w:r>
    </w:p>
    <w:p>
      <w:pPr>
        <w:pStyle w:val="FirstParagraph"/>
      </w:pPr>
      <w:r>
        <w:t xml:space="preserve">Reference No: QTE-2025-BER-0472</w:t>
      </w:r>
    </w:p>
    <w:p>
      <w:pPr>
        <w:pStyle w:val="BodyText"/>
      </w:pPr>
      <w:r>
        <w:t xml:space="preserve">Date: 15 June 2025</w:t>
      </w:r>
    </w:p>
    <w:p>
      <w:pPr>
        <w:pStyle w:val="BodyText"/>
      </w:pPr>
      <w:r>
        <w:t xml:space="preserve">Valid Until: 15 July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issued by GeoTech Engineering Solutions GmbH to provide a comprehensive and transparent cost breakdown for the engagement of a qualified</w:t>
      </w:r>
      <w:r>
        <w:t xml:space="preserve"> </w:t>
      </w:r>
      <w:r>
        <w:t xml:space="preserve">Petroleum Engineer</w:t>
      </w:r>
      <w:r>
        <w:t xml:space="preserve"> </w:t>
      </w:r>
      <w:r>
        <w:t xml:space="preserve">to deliver specialized technical services within the metropolitan area of</w:t>
      </w:r>
      <w:r>
        <w:t xml:space="preserve"> </w:t>
      </w:r>
      <w:r>
        <w:t xml:space="preserve">Germany Berlin</w:t>
      </w:r>
      <w:r>
        <w:t xml:space="preserve">. This document serves as a formal proposal outlining the scope of work, professional fees, applicable taxes, and contractual conditions governing the engagement. All pricing is presented in Euro (EUR) and reflects current market rates for petroleum engineering consultancy in the Berlin region of Germany.</w:t>
      </w:r>
    </w:p>
    <w:bookmarkEnd w:id="22"/>
    <w:bookmarkStart w:id="25" w:name="client-and-project-information"/>
    <w:p>
      <w:pPr>
        <w:pStyle w:val="Heading3"/>
      </w:pPr>
      <w:r>
        <w:t xml:space="preserve">2. Client and Project Information</w:t>
      </w:r>
    </w:p>
    <w:bookmarkStart w:id="23" w:name="client-details"/>
    <w:p>
      <w:pPr>
        <w:pStyle w:val="Heading4"/>
      </w:pPr>
      <w:r>
        <w:t xml:space="preserve">Client Details</w:t>
      </w:r>
    </w:p>
    <w:p>
      <w:pPr>
        <w:pStyle w:val="FirstParagraph"/>
      </w:pPr>
      <w:r>
        <w:rPr>
          <w:bCs/>
          <w:b/>
        </w:rPr>
        <w:t xml:space="preserve">Company:</w:t>
      </w:r>
      <w:r>
        <w:t xml:space="preserve"> </w:t>
      </w:r>
      <w:r>
        <w:t xml:space="preserve">NordEnergie AG</w:t>
      </w:r>
    </w:p>
    <w:p>
      <w:pPr>
        <w:pStyle w:val="BodyText"/>
      </w:pPr>
      <w:r>
        <w:rPr>
          <w:bCs/>
          <w:b/>
        </w:rPr>
        <w:t xml:space="preserve">Address:</w:t>
      </w:r>
      <w:r>
        <w:t xml:space="preserve"> </w:t>
      </w:r>
      <w:r>
        <w:t xml:space="preserve">Friedrichstraße 210, 10117 Berlin, Germany</w:t>
      </w:r>
    </w:p>
    <w:p>
      <w:pPr>
        <w:pStyle w:val="BodyText"/>
      </w:pPr>
      <w:r>
        <w:rPr>
          <w:bCs/>
          <w:b/>
        </w:rPr>
        <w:t xml:space="preserve">Contact Person:</w:t>
      </w:r>
      <w:r>
        <w:t xml:space="preserve"> </w:t>
      </w:r>
      <w:r>
        <w:t xml:space="preserve">Dr. Markus Weber, Head of Operations</w:t>
      </w:r>
    </w:p>
    <w:p>
      <w:pPr>
        <w:pStyle w:val="BodyText"/>
      </w:pPr>
      <w:r>
        <w:rPr>
          <w:bCs/>
          <w:b/>
        </w:rPr>
        <w:t xml:space="preserve">Reference:</w:t>
      </w:r>
      <w:r>
        <w:t xml:space="preserve"> </w:t>
      </w:r>
      <w:r>
        <w:t xml:space="preserve">NE-2025-PE-0031</w:t>
      </w:r>
    </w:p>
    <w:bookmarkEnd w:id="23"/>
    <w:bookmarkStart w:id="24" w:name="project-details"/>
    <w:p>
      <w:pPr>
        <w:pStyle w:val="Heading4"/>
      </w:pPr>
      <w:r>
        <w:t xml:space="preserve">Project Details</w:t>
      </w:r>
    </w:p>
    <w:p>
      <w:pPr>
        <w:pStyle w:val="FirstParagraph"/>
      </w:pPr>
      <w:r>
        <w:rPr>
          <w:bCs/>
          <w:b/>
        </w:rPr>
        <w:t xml:space="preserve">Project Title:</w:t>
      </w:r>
      <w:r>
        <w:t xml:space="preserve"> </w:t>
      </w:r>
      <w:r>
        <w:t xml:space="preserve">Subsurface Reservoir Assessment &amp; Production Optimization</w:t>
      </w:r>
    </w:p>
    <w:p>
      <w:pPr>
        <w:pStyle w:val="BodyText"/>
      </w:pPr>
      <w:r>
        <w:rPr>
          <w:bCs/>
          <w:b/>
        </w:rPr>
        <w:t xml:space="preserve">Location:</w:t>
      </w:r>
      <w:r>
        <w:t xml:space="preserve"> </w:t>
      </w:r>
      <w:r>
        <w:t xml:space="preserve">Germany Berlin (Office &amp; Field Operations)</w:t>
      </w:r>
    </w:p>
    <w:p>
      <w:pPr>
        <w:pStyle w:val="BodyText"/>
      </w:pPr>
      <w:r>
        <w:rPr>
          <w:bCs/>
          <w:b/>
        </w:rPr>
        <w:t xml:space="preserve">Duration:</w:t>
      </w:r>
      <w:r>
        <w:t xml:space="preserve"> </w:t>
      </w:r>
      <w:r>
        <w:t xml:space="preserve">12 months (January 2026 – December 2026)</w:t>
      </w:r>
    </w:p>
    <w:p>
      <w:pPr>
        <w:pStyle w:val="BodyText"/>
      </w:pPr>
      <w:r>
        <w:rPr>
          <w:bCs/>
          <w:b/>
        </w:rPr>
        <w:t xml:space="preserve">Specialization:</w:t>
      </w:r>
      <w:r>
        <w:t xml:space="preserve"> </w:t>
      </w:r>
      <w:r>
        <w:t xml:space="preserve">Petroleum Engineer – Reservoir &amp; Production</w:t>
      </w:r>
    </w:p>
    <w:bookmarkEnd w:id="24"/>
    <w:bookmarkEnd w:id="25"/>
    <w:bookmarkStart w:id="26" w:name="X66e5952c0385e2fecdd69f9db91d1274351d733"/>
    <w:p>
      <w:pPr>
        <w:pStyle w:val="Heading3"/>
      </w:pPr>
      <w:r>
        <w:t xml:space="preserve">3. Scope of Work – Petroleum Engineer Services in Germany Berlin</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perform the following duties and deliverables, all conducted in accordance with German industrial regulations (BImSchG, TRGS) and the professional standards of the German Association of Engineers (VDI) as applicable to petroleum and energy sector operations in</w:t>
      </w:r>
      <w:r>
        <w:t xml:space="preserve"> </w:t>
      </w:r>
      <w:r>
        <w:t xml:space="preserve">Germany Berlin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Reservoir characterization and geological modelling for onshore and offshore hydrocarbon assets. The Petroleum Engineer shall conduct detailed well-log analysis, pressure transient interpretation, and volumetric estimation.</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Production optimization and decline curve analysis. Includes development of enhanced oil recovery (EOR) strategies and waterflood management plans tailored to German regulatory compliance.</w:t>
            </w:r>
          </w:p>
        </w:tc>
        <w:tc>
          <w:tcPr/>
          <w:p>
            <w:pPr>
              <w:pStyle w:val="Compact"/>
              <w:jc w:val="left"/>
            </w:pPr>
            <w:r>
              <w:t xml:space="preserve">12 months</w:t>
            </w:r>
          </w:p>
        </w:tc>
        <w:tc>
          <w:tcPr/>
          <w:p>
            <w:pPr>
              <w:pStyle w:val="Compact"/>
              <w:jc w:val="left"/>
            </w:pPr>
            <w:r>
              <w:t xml:space="preserve">8,200 / month</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Well integrity assessment and completion design review. The Petroleum Engineer shall evaluate casing integrity, cement bond logs, and recommend remedial actions in line with German BGR (Federal Institute for Geosciences and Natural Resources) guidelines.</w:t>
            </w:r>
          </w:p>
        </w:tc>
        <w:tc>
          <w:tcPr/>
          <w:p>
            <w:pPr>
              <w:pStyle w:val="Compact"/>
              <w:jc w:val="left"/>
            </w:pPr>
            <w:r>
              <w:t xml:space="preserve">12 months</w:t>
            </w:r>
          </w:p>
        </w:tc>
        <w:tc>
          <w:tcPr/>
          <w:p>
            <w:pPr>
              <w:pStyle w:val="Compact"/>
              <w:jc w:val="left"/>
            </w:pPr>
            <w:r>
              <w:t xml:space="preserve">6,800 / month</w:t>
            </w:r>
          </w:p>
        </w:tc>
        <w:tc>
          <w:tcPr/>
          <w:p>
            <w:pPr>
              <w:pStyle w:val="Compact"/>
              <w:jc w:val="left"/>
            </w:pPr>
            <w:r>
              <w:t xml:space="preserve">81,600.00</w:t>
            </w:r>
          </w:p>
        </w:tc>
      </w:tr>
      <w:tr>
        <w:tc>
          <w:tcPr/>
          <w:p>
            <w:pPr>
              <w:pStyle w:val="Compact"/>
              <w:jc w:val="left"/>
            </w:pPr>
            <w:r>
              <w:t xml:space="preserve">04</w:t>
            </w:r>
          </w:p>
        </w:tc>
        <w:tc>
          <w:tcPr/>
          <w:p>
            <w:pPr>
              <w:pStyle w:val="Compact"/>
              <w:jc w:val="left"/>
            </w:pPr>
            <w:r>
              <w:t xml:space="preserve">Technical reporting and regulatory submissions. Preparation of quarterly technical reports, environmental impact assessments, and compliance documentation for the Berlin State Office for the Environment (LUBW Berlin).</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On-site field visits and client meetings in Germany Berlin. Includes travel within the Berlin metropolitan area, site inspections at partner facilities, and participation in stakeholder workshops.</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Software licensing and computational resources. Access to industry-standard petroleum engineering software (Petrel, Eclipse, CMG) and high-performance computing for reservoir simulation.</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Professional indemnity insurance and statutory social contributions. Mandatory coverage for the Petroleum Engineer operating under German labor law (SGB IV) within Germany Berlin.</w:t>
            </w:r>
          </w:p>
        </w:tc>
        <w:tc>
          <w:tcPr/>
          <w:p>
            <w:pPr>
              <w:pStyle w:val="Compact"/>
              <w:jc w:val="left"/>
            </w:pPr>
            <w:r>
              <w:t xml:space="preserve">12 months</w:t>
            </w:r>
          </w:p>
        </w:tc>
        <w:tc>
          <w:tcPr/>
          <w:p>
            <w:pPr>
              <w:pStyle w:val="Compact"/>
              <w:jc w:val="left"/>
            </w:pPr>
            <w:r>
              <w:t xml:space="preserve">1,850 / month</w:t>
            </w:r>
          </w:p>
        </w:tc>
        <w:tc>
          <w:tcPr/>
          <w:p>
            <w:pPr>
              <w:pStyle w:val="Compact"/>
              <w:jc w:val="left"/>
            </w:pPr>
            <w:r>
              <w:t xml:space="preserve">22,200.00</w:t>
            </w:r>
          </w:p>
        </w:tc>
      </w:tr>
      <w:tr>
        <w:tc>
          <w:tcPr>
            <w:gridSpan w:val="4"/>
          </w:tcPr>
          <w:p>
            <w:pPr>
              <w:pStyle w:val="Compact"/>
              <w:jc w:val="left"/>
            </w:pPr>
            <w:r>
              <w:t xml:space="preserve">Subtotal (Net)</w:t>
            </w:r>
          </w:p>
        </w:tc>
        <w:tc>
          <w:tcPr/>
          <w:p>
            <w:pPr>
              <w:pStyle w:val="Compact"/>
              <w:jc w:val="left"/>
            </w:pPr>
            <w:r>
              <w:t xml:space="preserve">470,800.00</w:t>
            </w:r>
          </w:p>
        </w:tc>
      </w:tr>
      <w:tr>
        <w:tc>
          <w:tcPr>
            <w:gridSpan w:val="4"/>
          </w:tcPr>
          <w:p>
            <w:pPr>
              <w:pStyle w:val="Compact"/>
              <w:jc w:val="left"/>
            </w:pPr>
            <w:r>
              <w:t xml:space="preserve">VAT (Umsatzsteuer) – 19% (German Standard Rate)</w:t>
            </w:r>
          </w:p>
        </w:tc>
        <w:tc>
          <w:tcPr/>
          <w:p>
            <w:pPr>
              <w:pStyle w:val="Compact"/>
              <w:jc w:val="left"/>
            </w:pPr>
            <w:r>
              <w:t xml:space="preserve">89,452.00</w:t>
            </w:r>
          </w:p>
        </w:tc>
      </w:tr>
      <w:tr>
        <w:tc>
          <w:tcPr>
            <w:gridSpan w:val="4"/>
          </w:tcPr>
          <w:p>
            <w:pPr>
              <w:pStyle w:val="Compact"/>
              <w:jc w:val="left"/>
            </w:pPr>
            <w:r>
              <w:t xml:space="preserve">TOTAL AMOUNT DUE (Gross)</w:t>
            </w:r>
          </w:p>
        </w:tc>
        <w:tc>
          <w:tcPr/>
          <w:p>
            <w:pPr>
              <w:pStyle w:val="Compact"/>
              <w:jc w:val="left"/>
            </w:pPr>
            <w:r>
              <w:t xml:space="preserve">560,252.00</w:t>
            </w:r>
          </w:p>
        </w:tc>
      </w:tr>
    </w:tbl>
    <w:bookmarkEnd w:id="26"/>
    <w:bookmarkStart w:id="27" w:name="payment-terms"/>
    <w:p>
      <w:pPr>
        <w:pStyle w:val="Heading3"/>
      </w:pPr>
      <w:r>
        <w:t xml:space="preserve">4. Payment Terms</w:t>
      </w:r>
    </w:p>
    <w:p>
      <w:pPr>
        <w:pStyle w:val="FirstParagraph"/>
      </w:pPr>
      <w:r>
        <w:t xml:space="preserve">Payment for this</w:t>
      </w:r>
      <w:r>
        <w:t xml:space="preserve"> </w:t>
      </w:r>
      <w:r>
        <w:t xml:space="preserve">Quotation Estimate</w:t>
      </w:r>
      <w:r>
        <w:t xml:space="preserve"> </w:t>
      </w:r>
      <w:r>
        <w:t xml:space="preserve">shall be made in monthly instalments via SEPA bank transfer to the account of GeoTech Engineering Solutions GmbH, IBAN: DE89 3704 0044 0532 0130 00, BIC: COBADEFFXXX. Invoices are issued on the 1st of each month for services rendered in the preceding month. Payment is due within 14 calendar days of invoice date in accordance with German commercial practice (BGB § 286). Late payments shall accrue interest at the statutory rate of 8 percentage points above the ECB base rate as per § 288 BGB.</w:t>
      </w:r>
    </w:p>
    <w:bookmarkEnd w:id="27"/>
    <w:bookmarkStart w:id="28"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Upon expiry, all rates and availability of the</w:t>
      </w:r>
      <w:r>
        <w:t xml:space="preserve"> </w:t>
      </w:r>
      <w:r>
        <w:t xml:space="preserve">Petroleum Engineer</w:t>
      </w:r>
      <w:r>
        <w:t xml:space="preserve"> </w:t>
      </w:r>
      <w:r>
        <w:t xml:space="preserve">must be reconfirmed in writing.</w:t>
      </w:r>
    </w:p>
    <w:p>
      <w:pPr>
        <w:numPr>
          <w:ilvl w:val="0"/>
          <w:numId w:val="1001"/>
        </w:numPr>
        <w:pStyle w:val="Compact"/>
      </w:pPr>
      <w:r>
        <w:t xml:space="preserve">The</w:t>
      </w:r>
      <w:r>
        <w:t xml:space="preserve"> </w:t>
      </w:r>
      <w:r>
        <w:t xml:space="preserve">Petroleum Engineer</w:t>
      </w:r>
      <w:r>
        <w:t xml:space="preserve"> </w:t>
      </w:r>
      <w:r>
        <w:t xml:space="preserve">shall comply with all applicable German federal and state (Land Berlin) regulations, including the Federal Mining Act (BBergG), the Federal Immission Control Act (BImSchG), and occupational health and safety standards (ArbSchG).</w:t>
      </w:r>
    </w:p>
    <w:p>
      <w:pPr>
        <w:numPr>
          <w:ilvl w:val="0"/>
          <w:numId w:val="1001"/>
        </w:numPr>
        <w:pStyle w:val="Compact"/>
      </w:pPr>
      <w:r>
        <w:t xml:space="preserve">All intellectual property, technical reports, and data generated by the</w:t>
      </w:r>
      <w:r>
        <w:t xml:space="preserve"> </w:t>
      </w:r>
      <w:r>
        <w:t xml:space="preserve">Petroleum Engineer</w:t>
      </w:r>
      <w:r>
        <w:t xml:space="preserve"> </w:t>
      </w:r>
      <w:r>
        <w:t xml:space="preserve">during the engagement in</w:t>
      </w:r>
      <w:r>
        <w:t xml:space="preserve"> </w:t>
      </w:r>
      <w:r>
        <w:t xml:space="preserve">Germany Berlin</w:t>
      </w:r>
      <w:r>
        <w:t xml:space="preserve"> </w:t>
      </w:r>
      <w:r>
        <w:t xml:space="preserve">shall remain the exclusive property of the client, NordEnergie AG, upon full payment.</w:t>
      </w:r>
    </w:p>
    <w:p>
      <w:pPr>
        <w:numPr>
          <w:ilvl w:val="0"/>
          <w:numId w:val="1001"/>
        </w:numPr>
        <w:pStyle w:val="Compact"/>
      </w:pPr>
      <w:r>
        <w:t xml:space="preserve">Either party may terminate this engagement with 30 days written notice. In the event of early termination, all services rendered up to the termination date shall be invoiced in full.</w:t>
      </w:r>
    </w:p>
    <w:p>
      <w:pPr>
        <w:numPr>
          <w:ilvl w:val="0"/>
          <w:numId w:val="1001"/>
        </w:numPr>
        <w:pStyle w:val="Compact"/>
      </w:pPr>
      <w:r>
        <w:t xml:space="preserve">Confidentiality: The</w:t>
      </w:r>
      <w:r>
        <w:t xml:space="preserve"> </w:t>
      </w:r>
      <w:r>
        <w:t xml:space="preserve">Petroleum Engineer</w:t>
      </w:r>
      <w:r>
        <w:t xml:space="preserve"> </w:t>
      </w:r>
      <w:r>
        <w:t xml:space="preserve">is bound by a Non-Disclosure Agreement (NDA) in accordance with German trade secret law (GeschGehG) for a period of 5 years following project completion.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terms herein are subject to the final contractual documentation.</w:t>
      </w:r>
    </w:p>
    <w:p>
      <w:pPr>
        <w:numPr>
          <w:ilvl w:val="0"/>
          <w:numId w:val="1001"/>
        </w:numPr>
        <w:pStyle w:val="Compact"/>
      </w:pPr>
      <w:r>
        <w:t xml:space="preserve">Governing law: The laws of the Federal Republic of Germany. Jurisdiction: The competent court in Berlin, Germany.</w:t>
      </w:r>
    </w:p>
    <w:bookmarkEnd w:id="28"/>
    <w:bookmarkStart w:id="29"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 terms for the engagement of the</w:t>
      </w:r>
      <w:r>
        <w:t xml:space="preserve"> </w:t>
      </w:r>
      <w:r>
        <w:t xml:space="preserve">Petroleum Engineer</w:t>
      </w:r>
      <w:r>
        <w:t xml:space="preserve"> </w:t>
      </w:r>
      <w:r>
        <w:t xml:space="preserve">in</w:t>
      </w:r>
      <w:r>
        <w:t xml:space="preserve"> </w:t>
      </w:r>
      <w:r>
        <w:t xml:space="preserve">Germany Berlin</w:t>
      </w:r>
      <w:r>
        <w:t xml:space="preserve">. This acceptance authorizes GeoTech Engineering Solutions GmbH to proceed with resource allocation and project mobilization.</w:t>
      </w:r>
    </w:p>
    <w:bookmarkEnd w:id="29"/>
    <w:p>
      <w:pPr>
        <w:pStyle w:val="BodyText"/>
      </w:pPr>
      <w:r>
        <w:rPr>
          <w:bCs/>
          <w:b/>
        </w:rPr>
        <w:t xml:space="preserve">For GeoTech Engineering Solutions GmbH</w:t>
      </w:r>
    </w:p>
    <w:p>
      <w:pPr>
        <w:pStyle w:val="BodyText"/>
      </w:pPr>
      <w:r>
        <w:t xml:space="preserve">Name: Dr. Anna Schneider, Managing Director</w:t>
      </w:r>
    </w:p>
    <w:p>
      <w:pPr>
        <w:pStyle w:val="BodyText"/>
      </w:pPr>
      <w:r>
        <w:t xml:space="preserve">Date: ____________________</w:t>
      </w:r>
    </w:p>
    <w:p>
      <w:pPr>
        <w:pStyle w:val="BodyText"/>
      </w:pPr>
      <w:r>
        <w:t xml:space="preserve">Signature &amp; Company Seal</w:t>
      </w:r>
    </w:p>
    <w:p>
      <w:pPr>
        <w:pStyle w:val="BodyText"/>
      </w:pPr>
      <w:r>
        <w:rPr>
          <w:bCs/>
          <w:b/>
        </w:rPr>
        <w:t xml:space="preserve">For NordEnergie AG (Client)</w:t>
      </w:r>
    </w:p>
    <w:p>
      <w:pPr>
        <w:pStyle w:val="BodyText"/>
      </w:pPr>
      <w:r>
        <w:t xml:space="preserve">Name: Dr. Markus Weber, Head of Operations</w:t>
      </w:r>
    </w:p>
    <w:p>
      <w:pPr>
        <w:pStyle w:val="BodyText"/>
      </w:pPr>
      <w:r>
        <w:t xml:space="preserve">Date: ____________________</w:t>
      </w:r>
    </w:p>
    <w:p>
      <w:pPr>
        <w:pStyle w:val="BodyText"/>
      </w:pPr>
      <w:r>
        <w:t xml:space="preserve">Signature &amp; Company Seal</w:t>
      </w:r>
    </w:p>
    <w:p>
      <w:pPr>
        <w:pStyle w:val="BodyText"/>
      </w:pPr>
      <w:r>
        <w:t xml:space="preserve">GeoTech Engineering Solutions GmbH | Unter den Linden 145, 10117 Berlin, Germany | HRB 123456 B, Amtsgericht Charlottenburg</w:t>
      </w:r>
    </w:p>
    <w:p>
      <w:pPr>
        <w:pStyle w:val="BodyText"/>
      </w:pPr>
      <w:r>
        <w:t xml:space="preserve">This Quotation Estimate was prepared exclusively for NordEnergie AG and may not be reproduced or distributed without prior written consent.</w:t>
      </w:r>
    </w:p>
    <w:p>
      <w:pPr>
        <w:pStyle w:val="BodyText"/>
      </w:pPr>
      <w:r>
        <w:t xml:space="preserve">Document Reference: QTE-2025-BER-0472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Germany Berlin</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