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geotech-engineering-solutions-gmbh"/>
    <w:p>
      <w:pPr>
        <w:pStyle w:val="Heading1"/>
      </w:pPr>
      <w:r>
        <w:t xml:space="preserve">GeoTech Engineering Solutions GmbH</w:t>
      </w:r>
    </w:p>
    <w:p>
      <w:pPr>
        <w:pStyle w:val="FirstParagraph"/>
      </w:pPr>
      <w:r>
        <w:t xml:space="preserve">Industriestraße 42, 60329 Frankfurt am Main, Germany</w:t>
      </w:r>
    </w:p>
    <w:p>
      <w:pPr>
        <w:pStyle w:val="BodyText"/>
      </w:pPr>
      <w:r>
        <w:t xml:space="preserve">Phone: +49 69 1234 5678 | Email: estimates@geotech-solutions.de</w:t>
      </w:r>
    </w:p>
    <w:p>
      <w:pPr>
        <w:pStyle w:val="BodyText"/>
      </w:pPr>
      <w:r>
        <w:t xml:space="preserve">USt-IdNr.: DE 123 456 789 | HRB 45678 Frankfurt am Main</w:t>
      </w:r>
    </w:p>
    <w:bookmarkEnd w:id="20"/>
    <w:p>
      <w:pPr>
        <w:pStyle w:val="BodyText"/>
      </w:pPr>
      <w:r>
        <w:t xml:space="preserve">Quotation Reference: QTE-2025-FRA-0847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Petroleum Engineer Services – Germany Frankfurt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Rheinland Energy Partners AG, Hauptstraße 108, 60311 Frankfurt am Main, Germany</w:t>
            </w:r>
          </w:p>
        </w:tc>
      </w:tr>
      <w:tr>
        <w:tc>
          <w:tcPr/>
          <w:p>
            <w:pPr>
              <w:pStyle w:val="Compact"/>
              <w:jc w:val="left"/>
            </w:pPr>
            <w:r>
              <w:t xml:space="preserve">Project Reference:</w:t>
            </w:r>
          </w:p>
        </w:tc>
        <w:tc>
          <w:tcPr/>
          <w:p>
            <w:pPr>
              <w:pStyle w:val="Compact"/>
              <w:jc w:val="left"/>
            </w:pPr>
            <w:r>
              <w:t xml:space="preserve">REF-2025-PE-FRA-0031 – Subsurface Reservoir Assessment, North Rhine Basin</w:t>
            </w:r>
          </w:p>
        </w:tc>
      </w:tr>
      <w:tr>
        <w:tc>
          <w:tcPr/>
          <w:p>
            <w:pPr>
              <w:pStyle w:val="Compact"/>
              <w:jc w:val="left"/>
            </w:pPr>
            <w:r>
              <w:t xml:space="preserve">Quotation Validity:</w:t>
            </w:r>
          </w:p>
        </w:tc>
        <w:tc>
          <w:tcPr/>
          <w:p>
            <w:pPr>
              <w:pStyle w:val="Compact"/>
              <w:jc w:val="left"/>
            </w:pPr>
            <w:r>
              <w:t xml:space="preserve">30 days from the date of issue (expires 15 July 2025)</w:t>
            </w:r>
          </w:p>
        </w:tc>
      </w:tr>
      <w:tr>
        <w:tc>
          <w:tcPr/>
          <w:p>
            <w:pPr>
              <w:pStyle w:val="Compact"/>
              <w:jc w:val="left"/>
            </w:pPr>
            <w:r>
              <w:t xml:space="preserve">Service Location:</w:t>
            </w:r>
          </w:p>
        </w:tc>
        <w:tc>
          <w:tcPr/>
          <w:p>
            <w:pPr>
              <w:pStyle w:val="Compact"/>
              <w:jc w:val="left"/>
            </w:pPr>
            <w:r>
              <w:t xml:space="preserve">Germany Frankfurt and surrounding operational sites in Hesse and North Rhine-Westphalia</w:t>
            </w:r>
          </w:p>
        </w:tc>
      </w:tr>
      <w:tr>
        <w:tc>
          <w:tcPr/>
          <w:p>
            <w:pPr>
              <w:pStyle w:val="Compact"/>
              <w:jc w:val="left"/>
            </w:pPr>
            <w:r>
              <w:t xml:space="preserve">Currency:</w:t>
            </w:r>
          </w:p>
        </w:tc>
        <w:tc>
          <w:tcPr/>
          <w:p>
            <w:pPr>
              <w:pStyle w:val="Compact"/>
              <w:jc w:val="left"/>
            </w:pPr>
            <w:r>
              <w:t xml:space="preserve">Euro (EUR) – all figures inclusive of 19% German VAT (Mehrwertsteuer)</w:t>
            </w:r>
          </w:p>
        </w:tc>
      </w:tr>
    </w:tbl>
    <w:bookmarkStart w:id="22" w:name="scope-of-work-and-description"/>
    <w:p>
      <w:pPr>
        <w:pStyle w:val="Heading3"/>
      </w:pPr>
      <w:r>
        <w:t xml:space="preserve">1. Scope of Work and Description</w:t>
      </w:r>
    </w:p>
    <w:p>
      <w:pPr>
        <w:pStyle w:val="FirstParagraph"/>
      </w:pPr>
      <w:r>
        <w:t xml:space="preserve">This Quotation Estimate is issued by GeoTech Engineering Solutions GmbH to provide a comprehensive and itemised cost breakdown for the engagement of a senior Petroleum Engineer to deliver subsurface reservoir assessment, well integrity evaluation, and production optimisation services for the client's operational assets located in and around Germany Frankfurt. The Petroleum Engineer will be responsible for conducting detailed geological and geophysical analyses, preparing reservoir simulation models, reviewing completion and workover programmes, and delivering technical recommendations aligned with the regulatory framework of the German Federal Institute for Geosciences and Natural Resources (BGR) and the Hessian State Mining Authority (Landesamt für Bergbau, Energie und Geologie – LBUG).</w:t>
      </w:r>
    </w:p>
    <w:p>
      <w:pPr>
        <w:pStyle w:val="BodyText"/>
      </w:pPr>
      <w:r>
        <w:t xml:space="preserve">The scope encompasses a minimum of twelve (12) weeks of dedicated on-site and remote consultancy, with the primary work location being the client's headquarters in Germany Frankfurt. The Petroleum Engineer will attend weekly coordination meetings, produce interim progress reports, and deliver a final technical dossier upon project completion. All deliverables will be prepared in accordance with ISO 14224, API RP 2X, and applicable German federal and state regulations governing petroleum operations.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Petroleum Engineer – Subsurface &amp; Reservoir Assessment (on-site, Germany Frankfurt)</w:t>
            </w:r>
          </w:p>
        </w:tc>
        <w:tc>
          <w:tcPr/>
          <w:p>
            <w:pPr>
              <w:pStyle w:val="Compact"/>
              <w:jc w:val="left"/>
            </w:pPr>
            <w:r>
              <w:t xml:space="preserve">6 weeks</w:t>
            </w:r>
          </w:p>
        </w:tc>
        <w:tc>
          <w:tcPr/>
          <w:p>
            <w:pPr>
              <w:pStyle w:val="Compact"/>
              <w:jc w:val="left"/>
            </w:pPr>
            <w:r>
              <w:t xml:space="preserve">14,500.00</w:t>
            </w:r>
          </w:p>
        </w:tc>
        <w:tc>
          <w:tcPr/>
          <w:p>
            <w:pPr>
              <w:pStyle w:val="Compact"/>
              <w:jc w:val="left"/>
            </w:pPr>
            <w:r>
              <w:t xml:space="preserve">87,000.00</w:t>
            </w:r>
          </w:p>
        </w:tc>
      </w:tr>
      <w:tr>
        <w:tc>
          <w:tcPr/>
          <w:p>
            <w:pPr>
              <w:pStyle w:val="Compact"/>
              <w:jc w:val="left"/>
            </w:pPr>
            <w:r>
              <w:t xml:space="preserve">2</w:t>
            </w:r>
          </w:p>
        </w:tc>
        <w:tc>
          <w:tcPr/>
          <w:p>
            <w:pPr>
              <w:pStyle w:val="Compact"/>
              <w:jc w:val="left"/>
            </w:pPr>
            <w:r>
              <w:t xml:space="preserve">Petroleum Engineer – Well Integrity &amp; Completion Review (on-site)</w:t>
            </w:r>
          </w:p>
        </w:tc>
        <w:tc>
          <w:tcPr/>
          <w:p>
            <w:pPr>
              <w:pStyle w:val="Compact"/>
              <w:jc w:val="left"/>
            </w:pPr>
            <w:r>
              <w:t xml:space="preserve">3 weeks</w:t>
            </w:r>
          </w:p>
        </w:tc>
        <w:tc>
          <w:tcPr/>
          <w:p>
            <w:pPr>
              <w:pStyle w:val="Compact"/>
              <w:jc w:val="left"/>
            </w:pPr>
            <w:r>
              <w:t xml:space="preserve">13,200.00</w:t>
            </w:r>
          </w:p>
        </w:tc>
        <w:tc>
          <w:tcPr/>
          <w:p>
            <w:pPr>
              <w:pStyle w:val="Compact"/>
              <w:jc w:val="left"/>
            </w:pPr>
            <w:r>
              <w:t xml:space="preserve">39,600.00</w:t>
            </w:r>
          </w:p>
        </w:tc>
      </w:tr>
      <w:tr>
        <w:tc>
          <w:tcPr/>
          <w:p>
            <w:pPr>
              <w:pStyle w:val="Compact"/>
              <w:jc w:val="left"/>
            </w:pPr>
            <w:r>
              <w:t xml:space="preserve">3</w:t>
            </w:r>
          </w:p>
        </w:tc>
        <w:tc>
          <w:tcPr/>
          <w:p>
            <w:pPr>
              <w:pStyle w:val="Compact"/>
              <w:jc w:val="left"/>
            </w:pPr>
            <w:r>
              <w:t xml:space="preserve">Reservoir Simulation Modelling &amp; Production Forecasting (remote + on-site)</w:t>
            </w:r>
          </w:p>
        </w:tc>
        <w:tc>
          <w:tcPr/>
          <w:p>
            <w:pPr>
              <w:pStyle w:val="Compact"/>
              <w:jc w:val="left"/>
            </w:pPr>
            <w:r>
              <w:t xml:space="preserve">2 weeks</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Regulatory Compliance Review – BGR &amp; LBUG Reporting (Germany Frankfurt)</w:t>
            </w:r>
          </w:p>
        </w:tc>
        <w:tc>
          <w:tcPr/>
          <w:p>
            <w:pPr>
              <w:pStyle w:val="Compact"/>
              <w:jc w:val="left"/>
            </w:pPr>
            <w:r>
              <w:t xml:space="preserve">1 week</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5</w:t>
            </w:r>
          </w:p>
        </w:tc>
        <w:tc>
          <w:tcPr/>
          <w:p>
            <w:pPr>
              <w:pStyle w:val="Compact"/>
              <w:jc w:val="left"/>
            </w:pPr>
            <w:r>
              <w:t xml:space="preserve">Final Technical Dossier, Presentation &amp; Handover (Germany Frankfurt)</w:t>
            </w:r>
          </w:p>
        </w:tc>
        <w:tc>
          <w:tcPr/>
          <w:p>
            <w:pPr>
              <w:pStyle w:val="Compact"/>
              <w:jc w:val="left"/>
            </w:pPr>
            <w:r>
              <w:t xml:space="preserve">1 week</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Specialist Software Licences (Petrel, Eclipse, CMG) – Project Duration</w:t>
            </w:r>
          </w:p>
        </w:tc>
        <w:tc>
          <w:tcPr/>
          <w:p>
            <w:pPr>
              <w:pStyle w:val="Compact"/>
              <w:jc w:val="left"/>
            </w:pPr>
            <w:r>
              <w:t xml:space="preserve">12 weeks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Travel, Accommodation &amp; Local Transport (Germany Frankfurt region)</w:t>
            </w:r>
          </w:p>
        </w:tc>
        <w:tc>
          <w:tcPr/>
          <w:p>
            <w:pPr>
              <w:pStyle w:val="Compact"/>
              <w:jc w:val="left"/>
            </w:pPr>
            <w:r>
              <w:t xml:space="preserve">12 weeks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t xml:space="preserve">Subtotal (net)</w:t>
            </w:r>
          </w:p>
        </w:tc>
        <w:tc>
          <w:tcPr/>
          <w:p>
            <w:pPr>
              <w:pStyle w:val="Compact"/>
              <w:jc w:val="left"/>
            </w:pPr>
            <w:r>
              <w:t xml:space="preserve">262,900.00</w:t>
            </w:r>
          </w:p>
        </w:tc>
      </w:tr>
      <w:tr>
        <w:tc>
          <w:tcPr>
            <w:gridSpan w:val="4"/>
          </w:tcPr>
          <w:p>
            <w:pPr>
              <w:pStyle w:val="Compact"/>
              <w:jc w:val="left"/>
            </w:pPr>
            <w:r>
              <w:t xml:space="preserve">VAT (19% – German Mehrwertsteuer)</w:t>
            </w:r>
          </w:p>
        </w:tc>
        <w:tc>
          <w:tcPr/>
          <w:p>
            <w:pPr>
              <w:pStyle w:val="Compact"/>
              <w:jc w:val="left"/>
            </w:pPr>
            <w:r>
              <w:t xml:space="preserve">49,951.00</w:t>
            </w:r>
          </w:p>
        </w:tc>
      </w:tr>
      <w:tr>
        <w:tc>
          <w:tcPr>
            <w:gridSpan w:val="4"/>
          </w:tcPr>
          <w:p>
            <w:pPr>
              <w:pStyle w:val="Compact"/>
              <w:jc w:val="left"/>
            </w:pPr>
            <w:r>
              <w:t xml:space="preserve">TOTAL AMOUNT DUE (gross)</w:t>
            </w:r>
          </w:p>
        </w:tc>
        <w:tc>
          <w:tcPr/>
          <w:p>
            <w:pPr>
              <w:pStyle w:val="Compact"/>
              <w:jc w:val="left"/>
            </w:pPr>
            <w:r>
              <w:t xml:space="preserve">312,851.00</w:t>
            </w:r>
          </w:p>
        </w:tc>
      </w:tr>
    </w:tbl>
    <w:bookmarkEnd w:id="23"/>
    <w:bookmarkStart w:id="24" w:name="payment-terms-and-schedule"/>
    <w:p>
      <w:pPr>
        <w:pStyle w:val="Heading3"/>
      </w:pPr>
      <w:r>
        <w:t xml:space="preserve">3. Payment Terms and Schedule</w:t>
      </w:r>
    </w:p>
    <w:p>
      <w:pPr>
        <w:numPr>
          <w:ilvl w:val="0"/>
          <w:numId w:val="1001"/>
        </w:numPr>
        <w:pStyle w:val="Compact"/>
      </w:pPr>
      <w:r>
        <w:rPr>
          <w:bCs/>
          <w:b/>
        </w:rPr>
        <w:t xml:space="preserve">30% advance payment</w:t>
      </w:r>
      <w:r>
        <w:t xml:space="preserve"> </w:t>
      </w:r>
      <w:r>
        <w:t xml:space="preserve">(EUR 93,855.30) due within 14 calendar days of acceptance of this Quotation Estimate.</w:t>
      </w:r>
    </w:p>
    <w:p>
      <w:pPr>
        <w:numPr>
          <w:ilvl w:val="0"/>
          <w:numId w:val="1001"/>
        </w:numPr>
        <w:pStyle w:val="Compact"/>
      </w:pPr>
      <w:r>
        <w:rPr>
          <w:bCs/>
          <w:b/>
        </w:rPr>
        <w:t xml:space="preserve">40% milestone payment</w:t>
      </w:r>
      <w:r>
        <w:t xml:space="preserve"> </w:t>
      </w:r>
      <w:r>
        <w:t xml:space="preserve">(EUR 125,140.40) due upon completion of the reservoir assessment and well integrity review phases (end of Week 9).</w:t>
      </w:r>
    </w:p>
    <w:p>
      <w:pPr>
        <w:numPr>
          <w:ilvl w:val="0"/>
          <w:numId w:val="1001"/>
        </w:numPr>
        <w:pStyle w:val="Compact"/>
      </w:pPr>
      <w:r>
        <w:rPr>
          <w:bCs/>
          <w:b/>
        </w:rPr>
        <w:t xml:space="preserve">30% final payment</w:t>
      </w:r>
      <w:r>
        <w:t xml:space="preserve"> </w:t>
      </w:r>
      <w:r>
        <w:t xml:space="preserve">(EUR 93,855.30) due within 21 calendar days of delivery and client sign-off of the final technical dossier.</w:t>
      </w:r>
    </w:p>
    <w:p>
      <w:pPr>
        <w:numPr>
          <w:ilvl w:val="0"/>
          <w:numId w:val="1001"/>
        </w:numPr>
        <w:pStyle w:val="Compact"/>
      </w:pPr>
      <w:r>
        <w:t xml:space="preserve">All payments to be made via bank transfer to the account of GeoTech Engineering Solutions GmbH, IBAN: DE89 3704 0044 0532 0130 00, BIC: COBADEFFXXX, Frankfurt am Main.</w:t>
      </w:r>
    </w:p>
    <w:p>
      <w:pPr>
        <w:numPr>
          <w:ilvl w:val="0"/>
          <w:numId w:val="1001"/>
        </w:numPr>
        <w:pStyle w:val="Compact"/>
      </w:pPr>
      <w:r>
        <w:t xml:space="preserve">Late payments shall incur interest at the statutory rate under Section 288 of the German Civil Code (BGB).</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days from the issue date. After expiry, all rates and availability must be reconfirmed in writing.</w:t>
      </w:r>
    </w:p>
    <w:p>
      <w:pPr>
        <w:numPr>
          <w:ilvl w:val="0"/>
          <w:numId w:val="1002"/>
        </w:numPr>
        <w:pStyle w:val="Compact"/>
      </w:pPr>
      <w:r>
        <w:t xml:space="preserve">The Petroleum Engineer assigned to this project shall hold a minimum of ten (10) years of relevant industry experience and a recognised degree in Petroleum Engineering or a closely related discipline.</w:t>
      </w:r>
    </w:p>
    <w:p>
      <w:pPr>
        <w:numPr>
          <w:ilvl w:val="0"/>
          <w:numId w:val="1002"/>
        </w:numPr>
        <w:pStyle w:val="Compact"/>
      </w:pPr>
      <w:r>
        <w:t xml:space="preserve">All work performed in Germany Frankfurt and surrounding regions shall comply with the German Occupational Safety and Health Act (Arbeitsschutzgesetz – ArbSchG) and applicable HSE standards.</w:t>
      </w:r>
    </w:p>
    <w:p>
      <w:pPr>
        <w:numPr>
          <w:ilvl w:val="0"/>
          <w:numId w:val="1002"/>
        </w:numPr>
        <w:pStyle w:val="Compact"/>
      </w:pPr>
      <w:r>
        <w:t xml:space="preserve">Intellectual property rights in all deliverables, models, and reports produced under this engagement shall transfer to the client upon full and final payment.</w:t>
      </w:r>
    </w:p>
    <w:p>
      <w:pPr>
        <w:numPr>
          <w:ilvl w:val="0"/>
          <w:numId w:val="1002"/>
        </w:numPr>
        <w:pStyle w:val="Compact"/>
      </w:pPr>
      <w:r>
        <w:t xml:space="preserve">GeoTech Engineering Solutions GmbH shall maintain professional indemnity insurance with a minimum coverage of EUR 5,000,000 per claim, valid throughout the project duration.</w:t>
      </w:r>
    </w:p>
    <w:p>
      <w:pPr>
        <w:numPr>
          <w:ilvl w:val="0"/>
          <w:numId w:val="1002"/>
        </w:numPr>
        <w:pStyle w:val="Compact"/>
      </w:pPr>
      <w:r>
        <w:t xml:space="preserve">Any changes to the scope of work beyond 10% of the originally estimated effort shall require a written change order and a revised Quotation Estimate prior to commencement of additional work.</w:t>
      </w:r>
    </w:p>
    <w:p>
      <w:pPr>
        <w:numPr>
          <w:ilvl w:val="0"/>
          <w:numId w:val="1002"/>
        </w:numPr>
        <w:pStyle w:val="Compact"/>
      </w:pPr>
      <w:r>
        <w:t xml:space="preserve">Disputes arising from this Quotation Estimate shall be governed by the laws of the Federal Republic of Germany, with exclusive jurisdiction of the competent courts in Frankfurt am Main.</w:t>
      </w:r>
    </w:p>
    <w:p>
      <w:pPr>
        <w:numPr>
          <w:ilvl w:val="0"/>
          <w:numId w:val="1002"/>
        </w:numPr>
        <w:pStyle w:val="Compact"/>
      </w:pPr>
      <w:r>
        <w:t xml:space="preserve">Confidentiality obligations as defined in the mutual Non-Disclosure Agreement (NDA) dated 01 March 2025 shall remain in full force and effect.</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 Quotation Estimate for Petroleum Engineer services in Germany Frankfurt and agrees to the terms, conditions, and pricing outlined herein. This document constitutes a binding commercial offer upon countersignature by both parties.</w:t>
      </w:r>
    </w:p>
    <w:p>
      <w:pPr>
        <w:pStyle w:val="BodyText"/>
      </w:pPr>
      <w:r>
        <w:rPr>
          <w:bCs/>
          <w:b/>
        </w:rPr>
        <w:t xml:space="preserve">For and on behalf of GeoTech Engineering Solutions GmbH</w:t>
      </w:r>
    </w:p>
    <w:p>
      <w:pPr>
        <w:pStyle w:val="BodyText"/>
      </w:pPr>
      <w:r>
        <w:t xml:space="preserve">Name: Dr. Markus Weber, Managing Director</w:t>
      </w:r>
      <w:r>
        <w:br/>
      </w:r>
      <w:r>
        <w:t xml:space="preserve">Date: _________________________</w:t>
      </w:r>
      <w:r>
        <w:br/>
      </w:r>
      <w:r>
        <w:t xml:space="preserve">Signature: _________________________</w:t>
      </w:r>
    </w:p>
    <w:p>
      <w:pPr>
        <w:pStyle w:val="BodyText"/>
      </w:pPr>
      <w:r>
        <w:rPr>
          <w:bCs/>
          <w:b/>
        </w:rPr>
        <w:t xml:space="preserve">For and on behalf of Rheinland Energy Partners AG</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GeoTech Engineering Solutions GmbH | Industriestraße 42, 60329 Frankfurt am Main, Germany | USt-IdNr.: DE 123 456 789</w:t>
      </w:r>
    </w:p>
    <w:p>
      <w:pPr>
        <w:pStyle w:val="BodyText"/>
      </w:pPr>
      <w:r>
        <w:t xml:space="preserve">This Quotation Estimate (Ref: QTE-2025-FRA-0847) is the property of GeoTech Engineering Solutions GmbH and is intended solely for the named recipient. Unauthorised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Germany Frankfurt</dc:title>
  <dc:creator/>
  <dc:language>en</dc:language>
  <cp:keywords/>
  <dcterms:created xsi:type="dcterms:W3CDTF">2026-10-10T01:53:48Z</dcterms:created>
  <dcterms:modified xsi:type="dcterms:W3CDTF">2026-10-10T01:53:48Z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