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mesopotamia-energy-consulting-llc"/>
    <w:p>
      <w:pPr>
        <w:pStyle w:val="Heading1"/>
      </w:pPr>
      <w:r>
        <w:t xml:space="preserve">MESOPOTAMIA ENERGY CONSULTING LLC</w:t>
      </w:r>
    </w:p>
    <w:p>
      <w:pPr>
        <w:pStyle w:val="FirstParagraph"/>
      </w:pPr>
      <w:r>
        <w:t xml:space="preserve">Office: Al-Mansour District, Baghdad, Iraq | P.O. Box 4471, Baghdad 10011</w:t>
      </w:r>
    </w:p>
    <w:p>
      <w:pPr>
        <w:pStyle w:val="BodyText"/>
      </w:pPr>
      <w:r>
        <w:t xml:space="preserve">Tel: +964-770-123-4567 | Email: info@mesopotamiaenergy.iq | CR No. 2024-08834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MEC/QE/2025/0047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North Oil Company – Baghdad Operations Directorate</w:t>
            </w:r>
          </w:p>
        </w:tc>
      </w:tr>
      <w:tr>
        <w:tc>
          <w:tcPr/>
          <w:p>
            <w:pPr>
              <w:pStyle w:val="Compact"/>
              <w:jc w:val="left"/>
            </w:pPr>
            <w:r>
              <w:t xml:space="preserve">Project Location:</w:t>
            </w:r>
          </w:p>
        </w:tc>
        <w:tc>
          <w:tcPr/>
          <w:p>
            <w:pPr>
              <w:pStyle w:val="Compact"/>
              <w:jc w:val="left"/>
            </w:pPr>
            <w:r>
              <w:t xml:space="preserve">Iraq Baghdad – Al-Mansour &amp; North Gas Field Perimeter</w:t>
            </w:r>
          </w:p>
        </w:tc>
      </w:tr>
      <w:tr>
        <w:tc>
          <w:tcPr/>
          <w:p>
            <w:pPr>
              <w:pStyle w:val="Compact"/>
              <w:jc w:val="left"/>
            </w:pPr>
            <w:r>
              <w:t xml:space="preserve">Prepared By:</w:t>
            </w:r>
          </w:p>
        </w:tc>
        <w:tc>
          <w:tcPr/>
          <w:p>
            <w:pPr>
              <w:pStyle w:val="Compact"/>
              <w:jc w:val="left"/>
            </w:pPr>
            <w:r>
              <w:t xml:space="preserve">Eng. Khalid Al-Rashid, Senior Petroleum Engineer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Mesopotamia Energy Consulting LLC to provide a comprehensive, itemized cost breakdown for the engagement of a qualified</w:t>
      </w:r>
      <w:r>
        <w:t xml:space="preserve"> </w:t>
      </w:r>
      <w:r>
        <w:t xml:space="preserve">Petroleum Engineer</w:t>
      </w:r>
      <w:r>
        <w:t xml:space="preserve"> </w:t>
      </w:r>
      <w:r>
        <w:t xml:space="preserve">to deliver technical advisory, reservoir evaluation, and production optimization services within the operational jurisdiction of</w:t>
      </w:r>
      <w:r>
        <w:t xml:space="preserve"> </w:t>
      </w:r>
      <w:r>
        <w:t xml:space="preserve">Iraq Baghdad</w:t>
      </w:r>
      <w:r>
        <w:t xml:space="preserve">. The scope encompasses on-site field assessments, subsurface data interpretation, well performance diagnostics, and the preparation of detailed engineering reports in accordance with the Iraqi Ministry of Oil standards and international best practices.</w:t>
      </w:r>
    </w:p>
    <w:p>
      <w:pPr>
        <w:pStyle w:val="BodyText"/>
      </w:pPr>
      <w:r>
        <w:t xml:space="preserve">The</w:t>
      </w:r>
      <w:r>
        <w:t xml:space="preserve"> </w:t>
      </w:r>
      <w:r>
        <w:t xml:space="preserve">Petroleum Engineer</w:t>
      </w:r>
      <w:r>
        <w:t xml:space="preserve"> </w:t>
      </w:r>
      <w:r>
        <w:t xml:space="preserve">proposed for this assignment holds a Master's degree in Petroleum Engineering from the University of Technology, Baghdad, with over twelve (12) years of progressive experience in Iraqi onshore and offshore reservoirs. The engineer is fully licensed by the Iraqi Engineers Syndicate (Baghdad Branch) and possesses valid security clearance for operations in the Baghdad Governorate.</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Reservoir characterization and static model update for the North Gas Field perimeter, including core analysis review and petrophysical log interpretation.</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Dynamic reservoir modeling and history matching using Eclipse / tNavigator software for 14 producing wells in the Baghdad sector.</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27,000.00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Well performance diagnostics, nodal analysis, and artificial lift optimization for 8 underperforming wells.</w:t>
            </w:r>
          </w:p>
        </w:tc>
        <w:tc>
          <w:tcPr/>
          <w:p>
            <w:pPr>
              <w:pStyle w:val="Compact"/>
              <w:jc w:val="left"/>
            </w:pPr>
            <w:r>
              <w:t xml:space="preserve">20 days</w:t>
            </w:r>
          </w:p>
        </w:tc>
        <w:tc>
          <w:tcPr/>
          <w:p>
            <w:pPr>
              <w:pStyle w:val="Compact"/>
              <w:jc w:val="left"/>
            </w:pPr>
            <w:r>
              <w:t xml:space="preserve">Lump Sum</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Preparation of a comprehensive Production Enhancement Plan (PEP) with 5-year forecast, economic evaluation, and risk assessment.</w:t>
            </w:r>
          </w:p>
        </w:tc>
        <w:tc>
          <w:tcPr/>
          <w:p>
            <w:pPr>
              <w:pStyle w:val="Compact"/>
              <w:jc w:val="left"/>
            </w:pPr>
            <w:r>
              <w:t xml:space="preserve">25 days</w:t>
            </w:r>
          </w:p>
        </w:tc>
        <w:tc>
          <w:tcPr/>
          <w:p>
            <w:pPr>
              <w:pStyle w:val="Compact"/>
              <w:jc w:val="left"/>
            </w:pPr>
            <w:r>
              <w:t xml:space="preserve">Lump Sum</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On-site field visits to Baghdad operations (minimum 6 site days) including wellhead inspections, separator checks, and data collection.</w:t>
            </w:r>
          </w:p>
        </w:tc>
        <w:tc>
          <w:tcPr/>
          <w:p>
            <w:pPr>
              <w:pStyle w:val="Compact"/>
              <w:jc w:val="left"/>
            </w:pPr>
            <w:r>
              <w:t xml:space="preserve">6 days</w:t>
            </w:r>
          </w:p>
        </w:tc>
        <w:tc>
          <w:tcPr/>
          <w:p>
            <w:pPr>
              <w:pStyle w:val="Compact"/>
              <w:jc w:val="left"/>
            </w:pPr>
            <w:r>
              <w:t xml:space="preserve">Per Day</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Technical supervision and mentoring of 4 junior Iraqi engineers assigned to the Baghdad operations team.</w:t>
            </w:r>
          </w:p>
        </w:tc>
        <w:tc>
          <w:tcPr/>
          <w:p>
            <w:pPr>
              <w:pStyle w:val="Compact"/>
              <w:jc w:val="left"/>
            </w:pPr>
            <w:r>
              <w:t xml:space="preserve">90 days</w:t>
            </w:r>
          </w:p>
        </w:tc>
        <w:tc>
          <w:tcPr/>
          <w:p>
            <w:pPr>
              <w:pStyle w:val="Compact"/>
              <w:jc w:val="left"/>
            </w:pPr>
            <w:r>
              <w:t xml:space="preserve">Per Month</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Preparation of 3 formal engineering reports (reservoir, production, and PEP) in English and Arabic, formatted per Iraqi Ministry of Oil template.</w:t>
            </w:r>
          </w:p>
        </w:tc>
        <w:tc>
          <w:tcPr/>
          <w:p>
            <w:pPr>
              <w:pStyle w:val="Compact"/>
              <w:jc w:val="left"/>
            </w:pPr>
            <w:r>
              <w:t xml:space="preserve">3 reports</w:t>
            </w:r>
          </w:p>
        </w:tc>
        <w:tc>
          <w:tcPr/>
          <w:p>
            <w:pPr>
              <w:pStyle w:val="Compact"/>
              <w:jc w:val="left"/>
            </w:pPr>
            <w:r>
              <w:t xml:space="preserve">Per Report</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Travel, local transportation, and per diem within Baghdad Governorate for the duration of the contract.</w:t>
            </w:r>
          </w:p>
        </w:tc>
        <w:tc>
          <w:tcPr/>
          <w:p>
            <w:pPr>
              <w:pStyle w:val="Compact"/>
              <w:jc w:val="left"/>
            </w:pPr>
            <w:r>
              <w:t xml:space="preserve">120 days</w:t>
            </w:r>
          </w:p>
        </w:tc>
        <w:tc>
          <w:tcPr/>
          <w:p>
            <w:pPr>
              <w:pStyle w:val="Compact"/>
              <w:jc w:val="left"/>
            </w:pPr>
            <w:r>
              <w:t xml:space="preserve">Per Day</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09</w:t>
            </w:r>
          </w:p>
        </w:tc>
        <w:tc>
          <w:tcPr/>
          <w:p>
            <w:pPr>
              <w:pStyle w:val="Compact"/>
              <w:jc w:val="left"/>
            </w:pPr>
            <w:r>
              <w:t xml:space="preserve">Software licenses (Eclipse, tNavigator, Petrel) – annual subscription allocated to the Baghdad project team.</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10</w:t>
            </w:r>
          </w:p>
        </w:tc>
        <w:tc>
          <w:tcPr/>
          <w:p>
            <w:pPr>
              <w:pStyle w:val="Compact"/>
              <w:jc w:val="left"/>
            </w:pPr>
            <w:r>
              <w:t xml:space="preserve">Contingency and miscellaneous engineering services (up to 5% of subtotal).</w:t>
            </w:r>
          </w:p>
        </w:tc>
        <w:tc>
          <w:tcPr/>
          <w:p>
            <w:pPr>
              <w:pStyle w:val="Compact"/>
              <w:jc w:val="left"/>
            </w:pPr>
            <w:r>
              <w:t xml:space="preserv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4,350.00</w:t>
            </w:r>
          </w:p>
        </w:tc>
      </w:tr>
      <w:tr>
        <w:tc>
          <w:tcPr>
            <w:gridSpan w:val="5"/>
          </w:tcPr>
          <w:p>
            <w:pPr>
              <w:pStyle w:val="Compact"/>
              <w:jc w:val="left"/>
            </w:pPr>
            <w:r>
              <w:t xml:space="preserve">SUBTOTAL (USD)</w:t>
            </w:r>
          </w:p>
        </w:tc>
        <w:tc>
          <w:tcPr/>
          <w:p>
            <w:pPr>
              <w:pStyle w:val="Compact"/>
              <w:jc w:val="left"/>
            </w:pPr>
            <w:r>
              <w:t xml:space="preserve">124,250.00</w:t>
            </w:r>
          </w:p>
        </w:tc>
      </w:tr>
      <w:tr>
        <w:tc>
          <w:tcPr>
            <w:gridSpan w:val="5"/>
          </w:tcPr>
          <w:p>
            <w:pPr>
              <w:pStyle w:val="Compact"/>
              <w:jc w:val="left"/>
            </w:pPr>
            <w:r>
              <w:t xml:space="preserve">VAT / Iraqi Tax (0% – Engineering services exempt)</w:t>
            </w:r>
          </w:p>
        </w:tc>
        <w:tc>
          <w:tcPr/>
          <w:p>
            <w:pPr>
              <w:pStyle w:val="Compact"/>
              <w:jc w:val="left"/>
            </w:pPr>
            <w:r>
              <w:t xml:space="preserve">0.00</w:t>
            </w:r>
          </w:p>
        </w:tc>
      </w:tr>
      <w:tr>
        <w:tc>
          <w:tcPr>
            <w:gridSpan w:val="5"/>
          </w:tcPr>
          <w:p>
            <w:pPr>
              <w:pStyle w:val="Compact"/>
              <w:jc w:val="left"/>
            </w:pPr>
            <w:r>
              <w:t xml:space="preserve">GRAND TOTAL (USD)</w:t>
            </w:r>
          </w:p>
        </w:tc>
        <w:tc>
          <w:tcPr/>
          <w:p>
            <w:pPr>
              <w:pStyle w:val="Compact"/>
              <w:jc w:val="left"/>
            </w:pPr>
            <w:r>
              <w:t xml:space="preserve">124,250.00</w:t>
            </w:r>
          </w:p>
        </w:tc>
      </w:tr>
    </w:tbl>
    <w:bookmarkEnd w:id="22"/>
    <w:bookmarkStart w:id="23" w:name="assumptions-and-exclusions"/>
    <w:p>
      <w:pPr>
        <w:pStyle w:val="Heading2"/>
      </w:pPr>
      <w:r>
        <w:t xml:space="preserve">3. Assumptions and Exclusions</w:t>
      </w:r>
    </w:p>
    <w:p>
      <w:pPr>
        <w:numPr>
          <w:ilvl w:val="0"/>
          <w:numId w:val="1001"/>
        </w:numPr>
        <w:pStyle w:val="Compact"/>
      </w:pPr>
      <w:r>
        <w:t xml:space="preserve">This</w:t>
      </w:r>
      <w:r>
        <w:t xml:space="preserve"> </w:t>
      </w:r>
      <w:r>
        <w:t xml:space="preserve">Quotation Estimate</w:t>
      </w:r>
      <w:r>
        <w:t xml:space="preserve"> </w:t>
      </w:r>
      <w:r>
        <w:t xml:space="preserve">assumes that all historical well data, core samples, and seismic volumes are made available by the client at the Baghdad operations office within the first five (5) working days of contract commencement.</w:t>
      </w:r>
    </w:p>
    <w:p>
      <w:pPr>
        <w:numPr>
          <w:ilvl w:val="0"/>
          <w:numId w:val="1001"/>
        </w:numPr>
        <w:pStyle w:val="Compact"/>
      </w:pPr>
      <w:r>
        <w:t xml:space="preserve">The</w:t>
      </w:r>
      <w:r>
        <w:t xml:space="preserve"> </w:t>
      </w:r>
      <w:r>
        <w:t xml:space="preserve">Petroleum Engineer</w:t>
      </w:r>
      <w:r>
        <w:t xml:space="preserve"> </w:t>
      </w:r>
      <w:r>
        <w:t xml:space="preserve">will work a standard 48-hour week (Sunday to Thursday) in accordance with Iraqi labor regulations. Overtime beyond 10 hours per week will be billed at 1.5× the daily rate.</w:t>
      </w:r>
    </w:p>
    <w:p>
      <w:pPr>
        <w:numPr>
          <w:ilvl w:val="0"/>
          <w:numId w:val="1001"/>
        </w:numPr>
        <w:pStyle w:val="Compact"/>
      </w:pPr>
      <w:r>
        <w:t xml:space="preserve">International airfare, visa processing, and accommodation outside Baghdad are excluded from this estimate and will be quoted separately if required.</w:t>
      </w:r>
    </w:p>
    <w:p>
      <w:pPr>
        <w:numPr>
          <w:ilvl w:val="0"/>
          <w:numId w:val="1001"/>
        </w:numPr>
        <w:pStyle w:val="Compact"/>
      </w:pPr>
      <w:r>
        <w:t xml:space="preserve">Any scope expansion beyond the 14 wells and 8 underperforming wells listed above will be subject to a supplementary</w:t>
      </w:r>
      <w:r>
        <w:t xml:space="preserve"> </w:t>
      </w:r>
      <w:r>
        <w:t xml:space="preserve">Quotation Estimate</w:t>
      </w:r>
      <w:r>
        <w:t xml:space="preserve"> </w:t>
      </w:r>
      <w:r>
        <w:t xml:space="preserve">issued within 7 working days of the change request.</w:t>
      </w:r>
    </w:p>
    <w:p>
      <w:pPr>
        <w:numPr>
          <w:ilvl w:val="0"/>
          <w:numId w:val="1001"/>
        </w:numPr>
        <w:pStyle w:val="Compact"/>
      </w:pPr>
      <w:r>
        <w:t xml:space="preserve">All deliverables are subject to review and approval by the North Oil Company Baghdad Operations Directorate within 10 working days of submission.</w:t>
      </w:r>
    </w:p>
    <w:bookmarkEnd w:id="23"/>
    <w:bookmarkStart w:id="24" w:name="payment-terms"/>
    <w:p>
      <w:pPr>
        <w:pStyle w:val="Heading2"/>
      </w:pPr>
      <w:r>
        <w:t xml:space="preserve">4. Payment Terms</w:t>
      </w:r>
    </w:p>
    <w:p>
      <w:pPr>
        <w:numPr>
          <w:ilvl w:val="0"/>
          <w:numId w:val="1002"/>
        </w:numPr>
        <w:pStyle w:val="Compact"/>
      </w:pPr>
      <w:r>
        <w:t xml:space="preserve">30% advance payment upon signature of the contract and receipt of the signed</w:t>
      </w:r>
      <w:r>
        <w:t xml:space="preserve"> </w:t>
      </w:r>
      <w:r>
        <w:t xml:space="preserve">Quotation Estimate</w:t>
      </w:r>
      <w:r>
        <w:t xml:space="preserve">.</w:t>
      </w:r>
    </w:p>
    <w:p>
      <w:pPr>
        <w:numPr>
          <w:ilvl w:val="0"/>
          <w:numId w:val="1002"/>
        </w:numPr>
        <w:pStyle w:val="Compact"/>
      </w:pPr>
      <w:r>
        <w:t xml:space="preserve">40% upon delivery and acceptance of the Reservoir Characterization Report and Dynamic Model (Milestone 1).</w:t>
      </w:r>
    </w:p>
    <w:p>
      <w:pPr>
        <w:numPr>
          <w:ilvl w:val="0"/>
          <w:numId w:val="1002"/>
        </w:numPr>
        <w:pStyle w:val="Compact"/>
      </w:pPr>
      <w:r>
        <w:t xml:space="preserve">20% upon delivery and acceptance of the Production Enhancement Plan (Milestone 2).</w:t>
      </w:r>
    </w:p>
    <w:p>
      <w:pPr>
        <w:numPr>
          <w:ilvl w:val="0"/>
          <w:numId w:val="1002"/>
        </w:numPr>
        <w:pStyle w:val="Compact"/>
      </w:pPr>
      <w:r>
        <w:t xml:space="preserve">10% upon final handover of all reports, data files, and close-out documentation.</w:t>
      </w:r>
    </w:p>
    <w:p>
      <w:pPr>
        <w:numPr>
          <w:ilvl w:val="0"/>
          <w:numId w:val="1002"/>
        </w:numPr>
        <w:pStyle w:val="Compact"/>
      </w:pPr>
      <w:r>
        <w:t xml:space="preserve">All payments shall be made in US Dollars via wire transfer to the company's designated account in Baghdad within 30 days of invoice date.</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is valid for thirty (30) calendar days from the date of issue. Upon acceptance, the client shall sign and return a copy of this document, which will then serve as the basis for the formal Service Agreement. The</w:t>
      </w:r>
      <w:r>
        <w:t xml:space="preserve"> </w:t>
      </w:r>
      <w:r>
        <w:t xml:space="preserve">Petroleum Engineer</w:t>
      </w:r>
      <w:r>
        <w:t xml:space="preserve"> </w:t>
      </w:r>
      <w:r>
        <w:t xml:space="preserve">engagement is contingent upon the client's confirmation of site access permits within the</w:t>
      </w:r>
      <w:r>
        <w:t xml:space="preserve"> </w:t>
      </w:r>
      <w:r>
        <w:t xml:space="preserve">Iraq Baghdad</w:t>
      </w:r>
      <w:r>
        <w:t xml:space="preserve"> </w:t>
      </w:r>
      <w:r>
        <w:t xml:space="preserve">operational zone and completion of all security and insurance requirements.</w:t>
      </w:r>
    </w:p>
    <w:p>
      <w:pPr>
        <w:pStyle w:val="BodyText"/>
      </w:pPr>
      <w:r>
        <w:rPr>
          <w:bCs/>
          <w:b/>
        </w:rPr>
        <w:t xml:space="preserve">For Mesopotamia Energy Consulting LLC</w:t>
      </w:r>
      <w:r>
        <w:br/>
      </w:r>
      <w:r>
        <w:br/>
      </w:r>
      <w:r>
        <w:t xml:space="preserve">______________________________</w:t>
      </w:r>
      <w:r>
        <w:br/>
      </w:r>
      <w:r>
        <w:t xml:space="preserve">Eng. Khalid Al-Rashid</w:t>
      </w:r>
      <w:r>
        <w:br/>
      </w:r>
      <w:r>
        <w:t xml:space="preserve">Senior Petroleum Engineer / Project Lead</w:t>
      </w:r>
      <w:r>
        <w:br/>
      </w:r>
      <w:r>
        <w:t xml:space="preserve">Date: _______________</w:t>
      </w:r>
    </w:p>
    <w:p>
      <w:pPr>
        <w:pStyle w:val="BodyText"/>
      </w:pPr>
      <w:r>
        <w:rPr>
          <w:bCs/>
          <w:b/>
        </w:rPr>
        <w:t xml:space="preserve">For North Oil Company – Baghdad Operations</w:t>
      </w:r>
      <w:r>
        <w:br/>
      </w:r>
      <w:r>
        <w:br/>
      </w:r>
      <w:r>
        <w:t xml:space="preserve">______________________________</w:t>
      </w:r>
      <w:r>
        <w:br/>
      </w:r>
      <w:r>
        <w:t xml:space="preserve">Authorized Signatory</w:t>
      </w:r>
      <w:r>
        <w:br/>
      </w:r>
      <w:r>
        <w:t xml:space="preserve">Name: _______________</w:t>
      </w:r>
      <w:r>
        <w:br/>
      </w:r>
      <w:r>
        <w:t xml:space="preserve">Date: _______________</w:t>
      </w:r>
    </w:p>
    <w:p>
      <w:pPr>
        <w:pStyle w:val="BodyText"/>
      </w:pPr>
      <w:r>
        <w:t xml:space="preserve">Mesopotamia Energy Consulting LLC | Al-Mansour District, Baghdad, Iraq | CR No. 2024-08834</w:t>
      </w:r>
    </w:p>
    <w:p>
      <w:pPr>
        <w:pStyle w:val="BodyText"/>
      </w:pPr>
      <w:r>
        <w:t xml:space="preserve">This Quotation Estimate is confidential and intended solely for the named recipient. Unauthorized distribution is prohibited.</w:t>
      </w:r>
    </w:p>
    <w:p>
      <w:pPr>
        <w:pStyle w:val="BodyText"/>
      </w:pPr>
      <w:r>
        <w:t xml:space="preserve">Page 1 of 1 | Document Ref: MEC/QE/2025/0047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Iraq Baghdad</dc:title>
  <dc:creator/>
  <dc:language>en</dc:language>
  <cp:keywords/>
  <dcterms:created xsi:type="dcterms:W3CDTF">2026-10-10T02:33:41Z</dcterms:created>
  <dcterms:modified xsi:type="dcterms:W3CDTF">2026-10-10T02:33:41Z</dcterms:modified>
</cp:coreProperties>
</file>

<file path=docProps/custom.xml><?xml version="1.0" encoding="utf-8"?>
<Properties xmlns="http://schemas.openxmlformats.org/officeDocument/2006/custom-properties" xmlns:vt="http://schemas.openxmlformats.org/officeDocument/2006/docPropsVTypes"/>
</file>