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Petroleum</w:t>
      </w:r>
      <w:r>
        <w:t xml:space="preserve"> </w:t>
      </w:r>
      <w:r>
        <w:t xml:space="preserve">Engineer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quotation-estimate"/>
    <w:p>
      <w:pPr>
        <w:pStyle w:val="Heading1"/>
      </w:pPr>
      <w:r>
        <w:t xml:space="preserve">QUOTATION ESTIMATE</w:t>
      </w:r>
    </w:p>
    <w:p>
      <w:pPr>
        <w:pStyle w:val="FirstParagraph"/>
      </w:pPr>
      <w:r>
        <w:t xml:space="preserve">Professional Petroleum Engineer Services — Israel Jerusalem</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QE-2025-JER-0472</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Valid Until:</w:t>
            </w:r>
          </w:p>
        </w:tc>
        <w:tc>
          <w:tcPr/>
          <w:p>
            <w:pPr>
              <w:pStyle w:val="Compact"/>
              <w:jc w:val="left"/>
            </w:pPr>
            <w:r>
              <w:t xml:space="preserve">July 15, 2025 (30 days)</w:t>
            </w:r>
          </w:p>
        </w:tc>
      </w:tr>
      <w:tr>
        <w:tc>
          <w:tcPr/>
          <w:p>
            <w:pPr>
              <w:pStyle w:val="Compact"/>
              <w:jc w:val="left"/>
            </w:pPr>
            <w:r>
              <w:t xml:space="preserve">Prepared By:</w:t>
            </w:r>
          </w:p>
        </w:tc>
        <w:tc>
          <w:tcPr/>
          <w:p>
            <w:pPr>
              <w:pStyle w:val="Compact"/>
              <w:jc w:val="left"/>
            </w:pPr>
            <w:r>
              <w:t xml:space="preserve">Dr. Yosef Ben-Ari, Senior Petroleum Engineer</w:t>
            </w:r>
          </w:p>
        </w:tc>
      </w:tr>
      <w:tr>
        <w:tc>
          <w:tcPr/>
          <w:p>
            <w:pPr>
              <w:pStyle w:val="Compact"/>
              <w:jc w:val="left"/>
            </w:pPr>
            <w:r>
              <w:t xml:space="preserve">Company:</w:t>
            </w:r>
          </w:p>
        </w:tc>
        <w:tc>
          <w:tcPr/>
          <w:p>
            <w:pPr>
              <w:pStyle w:val="Compact"/>
              <w:jc w:val="left"/>
            </w:pPr>
            <w:r>
              <w:t xml:space="preserve">Levant Energy Consulting Ltd., Jerusalem, Israel</w:t>
            </w:r>
          </w:p>
        </w:tc>
      </w:tr>
      <w:tr>
        <w:tc>
          <w:tcPr/>
          <w:p>
            <w:pPr>
              <w:pStyle w:val="Compact"/>
              <w:jc w:val="left"/>
            </w:pPr>
            <w:r>
              <w:t xml:space="preserve">Client:</w:t>
            </w:r>
          </w:p>
        </w:tc>
        <w:tc>
          <w:tcPr/>
          <w:p>
            <w:pPr>
              <w:pStyle w:val="Compact"/>
              <w:jc w:val="left"/>
            </w:pPr>
            <w:r>
              <w:t xml:space="preserve">Negev Basin Exploration Partners, Tel Aviv, Israel</w:t>
            </w:r>
          </w:p>
        </w:tc>
      </w:tr>
      <w:tr>
        <w:tc>
          <w:tcPr/>
          <w:p>
            <w:pPr>
              <w:pStyle w:val="Compact"/>
              <w:jc w:val="left"/>
            </w:pPr>
            <w:r>
              <w:t xml:space="preserve">Project Location:</w:t>
            </w:r>
          </w:p>
        </w:tc>
        <w:tc>
          <w:tcPr/>
          <w:p>
            <w:pPr>
              <w:pStyle w:val="Compact"/>
              <w:jc w:val="left"/>
            </w:pPr>
            <w:r>
              <w:t xml:space="preserve">Israel Jerusalem &amp; surrounding geological survey zones</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Levant Energy Consulting Ltd. to provide a comprehensive, itemized financial breakdown for the engagement of a qualified</w:t>
      </w:r>
      <w:r>
        <w:t xml:space="preserve"> </w:t>
      </w:r>
      <w:r>
        <w:t xml:space="preserve">Petroleum Engineer</w:t>
      </w:r>
      <w:r>
        <w:t xml:space="preserve"> </w:t>
      </w:r>
      <w:r>
        <w:t xml:space="preserve">to deliver specialized subsurface evaluation, reservoir modeling, and production optimization services. The scope of work described herein is specifically tailored to geological and operational conditions relevant to the</w:t>
      </w:r>
      <w:r>
        <w:t xml:space="preserve"> </w:t>
      </w:r>
      <w:r>
        <w:t xml:space="preserve">Israel Jerusalem</w:t>
      </w:r>
      <w:r>
        <w:t xml:space="preserve"> </w:t>
      </w:r>
      <w:r>
        <w:t xml:space="preserve">region and its adjacent sedimentary basins. This document serves as a formal proposal and is intended to be reviewed, approved, and executed by both parties prior to the commencement of any field or analytical work.</w:t>
      </w:r>
    </w:p>
    <w:bookmarkEnd w:id="21"/>
    <w:bookmarkStart w:id="22" w:name="Xf8b1d6752637adc72f15db30d160f47bfa1f0eb"/>
    <w:p>
      <w:pPr>
        <w:pStyle w:val="Heading2"/>
      </w:pPr>
      <w:r>
        <w:t xml:space="preserve">2. Scope of Services — Petroleum Engineer Engagement</w:t>
      </w:r>
    </w:p>
    <w:p>
      <w:pPr>
        <w:pStyle w:val="FirstParagraph"/>
      </w:pPr>
      <w:r>
        <w:t xml:space="preserve">The</w:t>
      </w:r>
      <w:r>
        <w:t xml:space="preserve"> </w:t>
      </w:r>
      <w:r>
        <w:t xml:space="preserve">Petroleum Engineer</w:t>
      </w:r>
      <w:r>
        <w:t xml:space="preserve"> </w:t>
      </w:r>
      <w:r>
        <w:t xml:space="preserve">assigned to this project will hold a minimum of fifteen (15) years of professional experience in hydrocarbon exploration, reservoir characterization, and well performance analysis. The engineer will operate primarily from our office in</w:t>
      </w:r>
      <w:r>
        <w:t xml:space="preserve"> </w:t>
      </w:r>
      <w:r>
        <w:t xml:space="preserve">Israel Jerusalem</w:t>
      </w:r>
      <w:r>
        <w:t xml:space="preserve">, with periodic site visits to exploration blocks in the Negev and Galilee regions as required by the project timeline. The following services are included in this</w:t>
      </w:r>
      <w:r>
        <w:t xml:space="preserve"> </w:t>
      </w:r>
      <w:r>
        <w:t xml:space="preserve">Quotation Estimate</w:t>
      </w:r>
      <w:r>
        <w:t xml:space="preserve">:</w:t>
      </w:r>
    </w:p>
    <w:p>
      <w:pPr>
        <w:numPr>
          <w:ilvl w:val="0"/>
          <w:numId w:val="1001"/>
        </w:numPr>
        <w:pStyle w:val="Compact"/>
      </w:pPr>
      <w:r>
        <w:rPr>
          <w:bCs/>
          <w:b/>
        </w:rPr>
        <w:t xml:space="preserve">Reservoir Characterization &amp; Modeling:</w:t>
      </w:r>
      <w:r>
        <w:t xml:space="preserve"> </w:t>
      </w:r>
      <w:r>
        <w:t xml:space="preserve">Development of 3D geological and reservoir models using seismic, well-log, and core data specific to the stratigraphic formations identified in the Israel Jerusalem geological corridor.</w:t>
      </w:r>
    </w:p>
    <w:p>
      <w:pPr>
        <w:numPr>
          <w:ilvl w:val="0"/>
          <w:numId w:val="1001"/>
        </w:numPr>
        <w:pStyle w:val="Compact"/>
      </w:pPr>
      <w:r>
        <w:rPr>
          <w:bCs/>
          <w:b/>
        </w:rPr>
        <w:t xml:space="preserve">Production Optimization Analysis:</w:t>
      </w:r>
      <w:r>
        <w:t xml:space="preserve"> </w:t>
      </w:r>
      <w:r>
        <w:t xml:space="preserve">Evaluation of existing well performance, identification of bottlenecks, and formulation of enhanced oil recovery (EOR) strategies aligned with local regulatory standards.</w:t>
      </w:r>
    </w:p>
    <w:p>
      <w:pPr>
        <w:numPr>
          <w:ilvl w:val="0"/>
          <w:numId w:val="1001"/>
        </w:numPr>
        <w:pStyle w:val="Compact"/>
      </w:pPr>
      <w:r>
        <w:rPr>
          <w:bCs/>
          <w:b/>
        </w:rPr>
        <w:t xml:space="preserve">Well Integrity &amp; Completion Review:</w:t>
      </w:r>
      <w:r>
        <w:t xml:space="preserve"> </w:t>
      </w:r>
      <w:r>
        <w:t xml:space="preserve">Technical audit of casing, cement, and completion designs to ensure compliance with Israel's Ministry of Energy and Water safety regulations.</w:t>
      </w:r>
    </w:p>
    <w:p>
      <w:pPr>
        <w:numPr>
          <w:ilvl w:val="0"/>
          <w:numId w:val="1001"/>
        </w:numPr>
        <w:pStyle w:val="Compact"/>
      </w:pPr>
      <w:r>
        <w:rPr>
          <w:bCs/>
          <w:b/>
        </w:rPr>
        <w:t xml:space="preserve">Geomechanical Assessment:</w:t>
      </w:r>
      <w:r>
        <w:t xml:space="preserve"> </w:t>
      </w:r>
      <w:r>
        <w:t xml:space="preserve">Analysis of in-situ stress conditions and fault stability relevant to the tectonic setting of the Israel Jerusalem region.</w:t>
      </w:r>
    </w:p>
    <w:p>
      <w:pPr>
        <w:numPr>
          <w:ilvl w:val="0"/>
          <w:numId w:val="1001"/>
        </w:numPr>
        <w:pStyle w:val="Compact"/>
      </w:pPr>
      <w:r>
        <w:rPr>
          <w:bCs/>
          <w:b/>
        </w:rPr>
        <w:t xml:space="preserve">Regulatory &amp; Environmental Compliance:</w:t>
      </w:r>
      <w:r>
        <w:t xml:space="preserve"> </w:t>
      </w:r>
      <w:r>
        <w:t xml:space="preserve">Preparation of technical documentation required by the Israel Petroleum Corporation (IPC) and the Ministry of Environmental Protection for exploration and production permits.</w:t>
      </w:r>
    </w:p>
    <w:p>
      <w:pPr>
        <w:numPr>
          <w:ilvl w:val="0"/>
          <w:numId w:val="1001"/>
        </w:numPr>
        <w:pStyle w:val="Compact"/>
      </w:pPr>
      <w:r>
        <w:rPr>
          <w:bCs/>
          <w:b/>
        </w:rPr>
        <w:t xml:space="preserve">Monthly Technical Reporting:</w:t>
      </w:r>
      <w:r>
        <w:t xml:space="preserve"> </w:t>
      </w:r>
      <w:r>
        <w:t xml:space="preserve">Submission of detailed progress reports, data summaries, and risk assessments to the client's project management team.</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site assessment and geological data collection in the Israel Jerusalem survey zone</w:t>
            </w:r>
          </w:p>
        </w:tc>
        <w:tc>
          <w:tcPr/>
          <w:p>
            <w:pPr>
              <w:pStyle w:val="Compact"/>
              <w:jc w:val="left"/>
            </w:pPr>
            <w:r>
              <w:t xml:space="preserve">2 weeks</w:t>
            </w:r>
          </w:p>
        </w:tc>
        <w:tc>
          <w:tcPr/>
          <w:p>
            <w:pPr>
              <w:pStyle w:val="Compact"/>
              <w:jc w:val="left"/>
            </w:pPr>
            <w:r>
              <w:t xml:space="preserve">4,500 / day</w:t>
            </w:r>
          </w:p>
        </w:tc>
        <w:tc>
          <w:tcPr/>
          <w:p>
            <w:pPr>
              <w:pStyle w:val="Compact"/>
              <w:jc w:val="left"/>
            </w:pPr>
            <w:r>
              <w:t xml:space="preserve">90,000</w:t>
            </w:r>
          </w:p>
        </w:tc>
        <w:tc>
          <w:tcPr/>
          <w:p>
            <w:pPr>
              <w:pStyle w:val="Compact"/>
              <w:jc w:val="left"/>
            </w:pPr>
            <w:r>
              <w:t xml:space="preserve">Includes field travel</w:t>
            </w:r>
          </w:p>
        </w:tc>
      </w:tr>
      <w:tr>
        <w:tc>
          <w:tcPr/>
          <w:p>
            <w:pPr>
              <w:pStyle w:val="Compact"/>
              <w:jc w:val="left"/>
            </w:pPr>
            <w:r>
              <w:t xml:space="preserve">2</w:t>
            </w:r>
          </w:p>
        </w:tc>
        <w:tc>
          <w:tcPr/>
          <w:p>
            <w:pPr>
              <w:pStyle w:val="Compact"/>
              <w:jc w:val="left"/>
            </w:pPr>
            <w:r>
              <w:t xml:space="preserve">3D reservoir modeling and simulation (Petroleum Engineer core deliverable)</w:t>
            </w:r>
          </w:p>
        </w:tc>
        <w:tc>
          <w:tcPr/>
          <w:p>
            <w:pPr>
              <w:pStyle w:val="Compact"/>
              <w:jc w:val="left"/>
            </w:pPr>
            <w:r>
              <w:t xml:space="preserve">6 weeks</w:t>
            </w:r>
          </w:p>
        </w:tc>
        <w:tc>
          <w:tcPr/>
          <w:p>
            <w:pPr>
              <w:pStyle w:val="Compact"/>
              <w:jc w:val="left"/>
            </w:pPr>
            <w:r>
              <w:t xml:space="preserve">3,800 / day</w:t>
            </w:r>
          </w:p>
        </w:tc>
        <w:tc>
          <w:tcPr/>
          <w:p>
            <w:pPr>
              <w:pStyle w:val="Compact"/>
              <w:jc w:val="left"/>
            </w:pPr>
            <w:r>
              <w:t xml:space="preserve">570,000</w:t>
            </w:r>
          </w:p>
        </w:tc>
        <w:tc>
          <w:tcPr/>
          <w:p>
            <w:pPr>
              <w:pStyle w:val="Compact"/>
              <w:jc w:val="left"/>
            </w:pPr>
            <w:r>
              <w:t xml:space="preserve">Software licenses included</w:t>
            </w:r>
          </w:p>
        </w:tc>
      </w:tr>
      <w:tr>
        <w:tc>
          <w:tcPr/>
          <w:p>
            <w:pPr>
              <w:pStyle w:val="Compact"/>
              <w:jc w:val="left"/>
            </w:pPr>
            <w:r>
              <w:t xml:space="preserve">3</w:t>
            </w:r>
          </w:p>
        </w:tc>
        <w:tc>
          <w:tcPr/>
          <w:p>
            <w:pPr>
              <w:pStyle w:val="Compact"/>
              <w:jc w:val="left"/>
            </w:pPr>
            <w:r>
              <w:t xml:space="preserve">Production optimization study and EOR feasibility report</w:t>
            </w:r>
          </w:p>
        </w:tc>
        <w:tc>
          <w:tcPr/>
          <w:p>
            <w:pPr>
              <w:pStyle w:val="Compact"/>
              <w:jc w:val="left"/>
            </w:pPr>
            <w:r>
              <w:t xml:space="preserve">4 weeks</w:t>
            </w:r>
          </w:p>
        </w:tc>
        <w:tc>
          <w:tcPr/>
          <w:p>
            <w:pPr>
              <w:pStyle w:val="Compact"/>
              <w:jc w:val="left"/>
            </w:pPr>
            <w:r>
              <w:t xml:space="preserve">3,800 / day</w:t>
            </w:r>
          </w:p>
        </w:tc>
        <w:tc>
          <w:tcPr/>
          <w:p>
            <w:pPr>
              <w:pStyle w:val="Compact"/>
              <w:jc w:val="left"/>
            </w:pPr>
            <w:r>
              <w:t xml:space="preserve">380,000</w:t>
            </w:r>
          </w:p>
        </w:tc>
        <w:tc>
          <w:tcPr/>
          <w:p>
            <w:pPr>
              <w:pStyle w:val="Compact"/>
              <w:jc w:val="left"/>
            </w:pPr>
            <w:r>
              <w:t xml:space="preserve">—</w:t>
            </w:r>
          </w:p>
        </w:tc>
      </w:tr>
      <w:tr>
        <w:tc>
          <w:tcPr/>
          <w:p>
            <w:pPr>
              <w:pStyle w:val="Compact"/>
              <w:jc w:val="left"/>
            </w:pPr>
            <w:r>
              <w:t xml:space="preserve">4</w:t>
            </w:r>
          </w:p>
        </w:tc>
        <w:tc>
          <w:tcPr/>
          <w:p>
            <w:pPr>
              <w:pStyle w:val="Compact"/>
              <w:jc w:val="left"/>
            </w:pPr>
            <w:r>
              <w:t xml:space="preserve">Well integrity audit and completion design review (3 wells)</w:t>
            </w:r>
          </w:p>
        </w:tc>
        <w:tc>
          <w:tcPr/>
          <w:p>
            <w:pPr>
              <w:pStyle w:val="Compact"/>
              <w:jc w:val="left"/>
            </w:pPr>
            <w:r>
              <w:t xml:space="preserve">3 weeks</w:t>
            </w:r>
          </w:p>
        </w:tc>
        <w:tc>
          <w:tcPr/>
          <w:p>
            <w:pPr>
              <w:pStyle w:val="Compact"/>
              <w:jc w:val="left"/>
            </w:pPr>
            <w:r>
              <w:t xml:space="preserve">4,200 / day</w:t>
            </w:r>
          </w:p>
        </w:tc>
        <w:tc>
          <w:tcPr/>
          <w:p>
            <w:pPr>
              <w:pStyle w:val="Compact"/>
              <w:jc w:val="left"/>
            </w:pPr>
            <w:r>
              <w:t xml:space="preserve">252,000</w:t>
            </w:r>
          </w:p>
        </w:tc>
        <w:tc>
          <w:tcPr/>
          <w:p>
            <w:pPr>
              <w:pStyle w:val="Compact"/>
              <w:jc w:val="left"/>
            </w:pPr>
            <w:r>
              <w:t xml:space="preserve">Per well basis</w:t>
            </w:r>
          </w:p>
        </w:tc>
      </w:tr>
      <w:tr>
        <w:tc>
          <w:tcPr/>
          <w:p>
            <w:pPr>
              <w:pStyle w:val="Compact"/>
              <w:jc w:val="left"/>
            </w:pPr>
            <w:r>
              <w:t xml:space="preserve">5</w:t>
            </w:r>
          </w:p>
        </w:tc>
        <w:tc>
          <w:tcPr/>
          <w:p>
            <w:pPr>
              <w:pStyle w:val="Compact"/>
              <w:jc w:val="left"/>
            </w:pPr>
            <w:r>
              <w:t xml:space="preserve">Geomechanical and fault stability analysis</w:t>
            </w:r>
          </w:p>
        </w:tc>
        <w:tc>
          <w:tcPr/>
          <w:p>
            <w:pPr>
              <w:pStyle w:val="Compact"/>
              <w:jc w:val="left"/>
            </w:pPr>
            <w:r>
              <w:t xml:space="preserve">3 weeks</w:t>
            </w:r>
          </w:p>
        </w:tc>
        <w:tc>
          <w:tcPr/>
          <w:p>
            <w:pPr>
              <w:pStyle w:val="Compact"/>
              <w:jc w:val="left"/>
            </w:pPr>
            <w:r>
              <w:t xml:space="preserve">3,800 / day</w:t>
            </w:r>
          </w:p>
        </w:tc>
        <w:tc>
          <w:tcPr/>
          <w:p>
            <w:pPr>
              <w:pStyle w:val="Compact"/>
              <w:jc w:val="left"/>
            </w:pPr>
            <w:r>
              <w:t xml:space="preserve">228,000</w:t>
            </w:r>
          </w:p>
        </w:tc>
        <w:tc>
          <w:tcPr/>
          <w:p>
            <w:pPr>
              <w:pStyle w:val="Compact"/>
              <w:jc w:val="left"/>
            </w:pPr>
            <w:r>
              <w:t xml:space="preserve">—</w:t>
            </w:r>
          </w:p>
        </w:tc>
      </w:tr>
      <w:tr>
        <w:tc>
          <w:tcPr/>
          <w:p>
            <w:pPr>
              <w:pStyle w:val="Compact"/>
              <w:jc w:val="left"/>
            </w:pPr>
            <w:r>
              <w:t xml:space="preserve">6</w:t>
            </w:r>
          </w:p>
        </w:tc>
        <w:tc>
          <w:tcPr/>
          <w:p>
            <w:pPr>
              <w:pStyle w:val="Compact"/>
              <w:jc w:val="left"/>
            </w:pPr>
            <w:r>
              <w:t xml:space="preserve">Regulatory documentation and IPC compliance filing</w:t>
            </w:r>
          </w:p>
        </w:tc>
        <w:tc>
          <w:tcPr/>
          <w:p>
            <w:pPr>
              <w:pStyle w:val="Compact"/>
              <w:jc w:val="left"/>
            </w:pPr>
            <w:r>
              <w:t xml:space="preserve">2 weeks</w:t>
            </w:r>
          </w:p>
        </w:tc>
        <w:tc>
          <w:tcPr/>
          <w:p>
            <w:pPr>
              <w:pStyle w:val="Compact"/>
              <w:jc w:val="left"/>
            </w:pPr>
            <w:r>
              <w:t xml:space="preserve">3,500 / day</w:t>
            </w:r>
          </w:p>
        </w:tc>
        <w:tc>
          <w:tcPr/>
          <w:p>
            <w:pPr>
              <w:pStyle w:val="Compact"/>
              <w:jc w:val="left"/>
            </w:pPr>
            <w:r>
              <w:t xml:space="preserve">70,000</w:t>
            </w:r>
          </w:p>
        </w:tc>
        <w:tc>
          <w:tcPr/>
          <w:p>
            <w:pPr>
              <w:pStyle w:val="Compact"/>
              <w:jc w:val="left"/>
            </w:pPr>
            <w:r>
              <w:t xml:space="preserve">Israel Jerusalem jurisdiction</w:t>
            </w:r>
          </w:p>
        </w:tc>
      </w:tr>
      <w:tr>
        <w:tc>
          <w:tcPr/>
          <w:p>
            <w:pPr>
              <w:pStyle w:val="Compact"/>
              <w:jc w:val="left"/>
            </w:pPr>
            <w:r>
              <w:t xml:space="preserve">7</w:t>
            </w:r>
          </w:p>
        </w:tc>
        <w:tc>
          <w:tcPr/>
          <w:p>
            <w:pPr>
              <w:pStyle w:val="Compact"/>
              <w:jc w:val="left"/>
            </w:pPr>
            <w:r>
              <w:t xml:space="preserve">Monthly technical reporting and client presentations (6 months)</w:t>
            </w:r>
          </w:p>
        </w:tc>
        <w:tc>
          <w:tcPr/>
          <w:p>
            <w:pPr>
              <w:pStyle w:val="Compact"/>
              <w:jc w:val="left"/>
            </w:pPr>
            <w:r>
              <w:t xml:space="preserve">6 months</w:t>
            </w:r>
          </w:p>
        </w:tc>
        <w:tc>
          <w:tcPr/>
          <w:p>
            <w:pPr>
              <w:pStyle w:val="Compact"/>
              <w:jc w:val="left"/>
            </w:pPr>
            <w:r>
              <w:t xml:space="preserve">2,000 / month</w:t>
            </w:r>
          </w:p>
        </w:tc>
        <w:tc>
          <w:tcPr/>
          <w:p>
            <w:pPr>
              <w:pStyle w:val="Compact"/>
              <w:jc w:val="left"/>
            </w:pPr>
            <w:r>
              <w:t xml:space="preserve">12,000</w:t>
            </w:r>
          </w:p>
        </w:tc>
        <w:tc>
          <w:tcPr/>
          <w:p>
            <w:pPr>
              <w:pStyle w:val="Compact"/>
              <w:jc w:val="left"/>
            </w:pPr>
            <w:r>
              <w:t xml:space="preserve">Recurring</w:t>
            </w:r>
          </w:p>
        </w:tc>
      </w:tr>
      <w:tr>
        <w:tc>
          <w:tcPr/>
          <w:p>
            <w:pPr>
              <w:pStyle w:val="Compact"/>
              <w:jc w:val="left"/>
            </w:pPr>
            <w:r>
              <w:t xml:space="preserve">8</w:t>
            </w:r>
          </w:p>
        </w:tc>
        <w:tc>
          <w:tcPr/>
          <w:p>
            <w:pPr>
              <w:pStyle w:val="Compact"/>
              <w:jc w:val="left"/>
            </w:pPr>
            <w:r>
              <w:t xml:space="preserve">Travel, accommodation, and per diem (Israel Jerusalem &amp; field sites)</w:t>
            </w:r>
          </w:p>
        </w:tc>
        <w:tc>
          <w:tcPr/>
          <w:p>
            <w:pPr>
              <w:pStyle w:val="Compact"/>
              <w:jc w:val="left"/>
            </w:pPr>
            <w:r>
              <w:t xml:space="preserve">16 weeks</w:t>
            </w:r>
          </w:p>
        </w:tc>
        <w:tc>
          <w:tcPr/>
          <w:p>
            <w:pPr>
              <w:pStyle w:val="Compact"/>
              <w:jc w:val="left"/>
            </w:pPr>
            <w:r>
              <w:t xml:space="preserve">1,200 / week</w:t>
            </w:r>
          </w:p>
        </w:tc>
        <w:tc>
          <w:tcPr/>
          <w:p>
            <w:pPr>
              <w:pStyle w:val="Compact"/>
              <w:jc w:val="left"/>
            </w:pPr>
            <w:r>
              <w:t xml:space="preserve">19,200</w:t>
            </w:r>
          </w:p>
        </w:tc>
        <w:tc>
          <w:tcPr/>
          <w:p>
            <w:pPr>
              <w:pStyle w:val="Compact"/>
              <w:jc w:val="left"/>
            </w:pPr>
            <w:r>
              <w:t xml:space="preserve">At cost</w:t>
            </w:r>
          </w:p>
        </w:tc>
      </w:tr>
      <w:tr>
        <w:tc>
          <w:tcPr/>
          <w:p>
            <w:pPr>
              <w:pStyle w:val="Compact"/>
              <w:jc w:val="left"/>
            </w:pPr>
            <w:r>
              <w:t xml:space="preserve">9</w:t>
            </w:r>
          </w:p>
        </w:tc>
        <w:tc>
          <w:tcPr/>
          <w:p>
            <w:pPr>
              <w:pStyle w:val="Compact"/>
              <w:jc w:val="left"/>
            </w:pPr>
            <w:r>
              <w:t xml:space="preserve">Project management and coordination overhead (10%)</w:t>
            </w:r>
          </w:p>
        </w:tc>
        <w:tc>
          <w:tcPr/>
          <w:p>
            <w:pPr>
              <w:pStyle w:val="Compact"/>
              <w:jc w:val="left"/>
            </w:pPr>
            <w:r>
              <w:t xml:space="preserve">Full term</w:t>
            </w:r>
          </w:p>
        </w:tc>
        <w:tc>
          <w:tcPr/>
          <w:p>
            <w:pPr>
              <w:pStyle w:val="Compact"/>
              <w:jc w:val="left"/>
            </w:pPr>
            <w:r>
              <w:t xml:space="preserve">—</w:t>
            </w:r>
          </w:p>
        </w:tc>
        <w:tc>
          <w:tcPr/>
          <w:p>
            <w:pPr>
              <w:pStyle w:val="Compact"/>
              <w:jc w:val="left"/>
            </w:pPr>
            <w:r>
              <w:t xml:space="preserve">131,120</w:t>
            </w:r>
          </w:p>
        </w:tc>
        <w:tc>
          <w:tcPr/>
          <w:p>
            <w:pPr>
              <w:pStyle w:val="Compact"/>
              <w:jc w:val="left"/>
            </w:pPr>
            <w:r>
              <w:t xml:space="preserve">Applied to subtotal</w:t>
            </w:r>
          </w:p>
        </w:tc>
      </w:tr>
      <w:tr>
        <w:tc>
          <w:tcPr>
            <w:gridSpan w:val="4"/>
          </w:tcPr>
          <w:p>
            <w:pPr>
              <w:pStyle w:val="Compact"/>
              <w:jc w:val="right"/>
            </w:pPr>
            <w:r>
              <w:t xml:space="preserve">TOTAL ESTIMATED COST (USD)</w:t>
            </w:r>
          </w:p>
        </w:tc>
        <w:tc>
          <w:tcPr/>
          <w:p>
            <w:pPr>
              <w:pStyle w:val="Compact"/>
              <w:jc w:val="left"/>
            </w:pPr>
            <w:r>
              <w:t xml:space="preserve">1,752,320</w:t>
            </w:r>
          </w:p>
        </w:tc>
        <w:tc>
          <w:tcPr/>
          <w:p>
            <w:pPr>
              <w:pStyle w:val="Compact"/>
            </w:pPr>
          </w:p>
        </w:tc>
      </w:tr>
    </w:tbl>
    <w:bookmarkEnd w:id="23"/>
    <w:bookmarkStart w:id="24" w:name="payment-terms"/>
    <w:p>
      <w:pPr>
        <w:pStyle w:val="Heading2"/>
      </w:pPr>
      <w:r>
        <w:t xml:space="preserve">4. Payment Terms</w:t>
      </w:r>
    </w:p>
    <w:p>
      <w:pPr>
        <w:pStyle w:val="FirstParagraph"/>
      </w:pPr>
      <w:r>
        <w:t xml:space="preserve">Payment for the services outlined in this</w:t>
      </w:r>
      <w:r>
        <w:t xml:space="preserve"> </w:t>
      </w:r>
      <w:r>
        <w:t xml:space="preserve">Quotation Estimate</w:t>
      </w:r>
      <w:r>
        <w:t xml:space="preserve"> </w:t>
      </w:r>
      <w:r>
        <w:t xml:space="preserve">shall be structured as follows: 25% upon contract execution, 40% upon delivery of the reservoir model and production optimization report, 25% upon completion of the well integrity audit, and 10% upon final acceptance of all deliverables. All payments are due within thirty (30) days of invoice date. Invoices will be issued in US Dollars (USD) and remitted to the company bank account in Israel Jerusalem. Late payments shall accrue interest at the rate of 1.5% per month.</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After this period, pricing may be subject to revision based on market conditions, currency fluctuations, or changes in scope.</w:t>
      </w:r>
    </w:p>
    <w:p>
      <w:pPr>
        <w:numPr>
          <w:ilvl w:val="0"/>
          <w:numId w:val="1002"/>
        </w:numPr>
        <w:pStyle w:val="Compact"/>
      </w:pPr>
      <w:r>
        <w:t xml:space="preserve">The</w:t>
      </w:r>
      <w:r>
        <w:t xml:space="preserve"> </w:t>
      </w:r>
      <w:r>
        <w:t xml:space="preserve">Petroleum Engineer</w:t>
      </w:r>
      <w:r>
        <w:t xml:space="preserve"> </w:t>
      </w:r>
      <w:r>
        <w:t xml:space="preserve">engaged under this agreement shall maintain full professional liability insurance and comply with all applicable Israeli labor, safety, and environmental laws.</w:t>
      </w:r>
    </w:p>
    <w:p>
      <w:pPr>
        <w:numPr>
          <w:ilvl w:val="0"/>
          <w:numId w:val="1002"/>
        </w:numPr>
        <w:pStyle w:val="Compact"/>
      </w:pPr>
      <w:r>
        <w:t xml:space="preserve">All data, models, and reports produced under this engagement shall become the exclusive property of the client upon full payment. The Petroleum Engineer and Levant Energy Consulting Ltd. retain the right to use anonymized, aggregated findings for academic and industry publications.</w:t>
      </w:r>
    </w:p>
    <w:p>
      <w:pPr>
        <w:numPr>
          <w:ilvl w:val="0"/>
          <w:numId w:val="1002"/>
        </w:numPr>
        <w:pStyle w:val="Compact"/>
      </w:pPr>
      <w:r>
        <w:t xml:space="preserve">Any changes to the scope of work must be documented in a formal Change Order signed by both parties. Additional work beyond the original scope will be billed at the rates specified in this Quotation Estimate or at mutually agreed-upon rates.</w:t>
      </w:r>
    </w:p>
    <w:p>
      <w:pPr>
        <w:numPr>
          <w:ilvl w:val="0"/>
          <w:numId w:val="1002"/>
        </w:numPr>
        <w:pStyle w:val="Compact"/>
      </w:pPr>
      <w:r>
        <w:t xml:space="preserve">The project location is primarily Israel Jerusalem, with field activities extending to designated exploration blocks. The client is responsible for securing all necessary access permits, site clearances, and local authority approvals prior to fieldwork commencement.</w:t>
      </w:r>
    </w:p>
    <w:p>
      <w:pPr>
        <w:numPr>
          <w:ilvl w:val="0"/>
          <w:numId w:val="1002"/>
        </w:numPr>
        <w:pStyle w:val="Compact"/>
      </w:pPr>
      <w:r>
        <w:t xml:space="preserve">Confidentiality: Both parties agree to maintain strict confidentiality of all proprietary data, geological information, and commercial terms. This obligation survives the termination of this agreement for a period of five (5) years.</w:t>
      </w:r>
    </w:p>
    <w:p>
      <w:pPr>
        <w:numPr>
          <w:ilvl w:val="0"/>
          <w:numId w:val="1002"/>
        </w:numPr>
        <w:pStyle w:val="Compact"/>
      </w:pPr>
      <w:r>
        <w:t xml:space="preserve">Disputes arising from this Quotation Estimate or the resulting contract shall be resolved through arbitration in Jerusalem, Israel, in accordance with the rules of the Israel Arbitration Association.</w:t>
      </w:r>
    </w:p>
    <w:p>
      <w:pPr>
        <w:numPr>
          <w:ilvl w:val="0"/>
          <w:numId w:val="1002"/>
        </w:numPr>
        <w:pStyle w:val="Compact"/>
      </w:pPr>
      <w:r>
        <w:t xml:space="preserve">This Quotation Estimate does not constitute a binding contract until a formal Service Agreement is executed by authorized representatives of both parties.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Petroleum Engineer</w:t>
      </w:r>
      <w:r>
        <w:t xml:space="preserve"> </w:t>
      </w:r>
      <w:r>
        <w:t xml:space="preserve">services in</w:t>
      </w:r>
      <w:r>
        <w:t xml:space="preserve"> </w:t>
      </w:r>
      <w:r>
        <w:t xml:space="preserve">Israel Jerusalem</w:t>
      </w:r>
      <w:r>
        <w:t xml:space="preserve"> </w:t>
      </w:r>
      <w:r>
        <w:t xml:space="preserve">and agrees to the terms, conditions, and pricing set forth herein. This signature authorizes Levant Energy Consulting Ltd. to proceed with resource allocation and project scheduling upon receipt of the initial payment.</w:t>
      </w:r>
    </w:p>
    <w:p>
      <w:pPr>
        <w:pStyle w:val="BodyText"/>
      </w:pPr>
      <w:r>
        <w:rPr>
          <w:bCs/>
          <w:b/>
        </w:rPr>
        <w:t xml:space="preserve">For Levant Energy Consulting Ltd.</w:t>
      </w:r>
      <w:r>
        <w:br/>
      </w:r>
      <w:r>
        <w:t xml:space="preserve">Dr. Yosef Ben-Ari, Senior Petroleum Engineer</w:t>
      </w:r>
      <w:r>
        <w:br/>
      </w:r>
      <w:r>
        <w:t xml:space="preserve">Date: _______________</w:t>
      </w:r>
    </w:p>
    <w:p>
      <w:pPr>
        <w:pStyle w:val="BodyText"/>
      </w:pPr>
      <w:r>
        <w:rPr>
          <w:bCs/>
          <w:b/>
        </w:rPr>
        <w:t xml:space="preserve">For Negev Basin Exploration Partners</w:t>
      </w:r>
      <w:r>
        <w:br/>
      </w:r>
      <w:r>
        <w:t xml:space="preserve">Authorized Representative</w:t>
      </w:r>
      <w:r>
        <w:br/>
      </w:r>
      <w:r>
        <w:t xml:space="preserve">Date: _______________</w:t>
      </w:r>
    </w:p>
    <w:p>
      <w:pPr>
        <w:pStyle w:val="BodyText"/>
      </w:pPr>
      <w:r>
        <w:t xml:space="preserve">Levant Energy Consulting Ltd. | 42 King George Street, Israel Jerusalem 97100, Israel</w:t>
      </w:r>
      <w:r>
        <w:br/>
      </w:r>
      <w:r>
        <w:t xml:space="preserve">Tel: +972-2-555-0147 | Email: quotes@levantenergy.co.il | Reg. No. 51-784-2291</w:t>
      </w:r>
      <w:r>
        <w:br/>
      </w:r>
      <w:r>
        <w:t xml:space="preserve">This Quotation Estimate is the property of Levant Energy Consulting Ltd. and is intended solely for the named client.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Petroleum Engineer Services - Israel Jerusalem</dc:title>
  <dc:creator/>
  <dc:language>en</dc:language>
  <cp:keywords/>
  <dcterms:created xsi:type="dcterms:W3CDTF">2026-10-10T02:22:58Z</dcterms:created>
  <dcterms:modified xsi:type="dcterms:W3CDTF">2026-10-10T02:22:58Z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