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medeast-energy-consulting-ltd."/>
    <w:p>
      <w:pPr>
        <w:pStyle w:val="Heading1"/>
      </w:pPr>
      <w:r>
        <w:t xml:space="preserve">MedEast Energy Consulting Ltd.</w:t>
      </w:r>
    </w:p>
    <w:p>
      <w:pPr>
        <w:pStyle w:val="FirstParagraph"/>
      </w:pPr>
      <w:r>
        <w:t xml:space="preserve">12 HaYarkon Street, Tel Aviv-Yafo, Israel 63281</w:t>
      </w:r>
    </w:p>
    <w:p>
      <w:pPr>
        <w:pStyle w:val="BodyText"/>
      </w:pPr>
      <w:r>
        <w:t xml:space="preserve">Tel: +972-3-555-0142 | Email: quotes@medeastenergy.co.il</w:t>
      </w:r>
    </w:p>
    <w:p>
      <w:pPr>
        <w:pStyle w:val="BodyText"/>
      </w:pPr>
      <w:r>
        <w:t xml:space="preserve">VAT No.: 51-800-442-10 | License: Petroleum Engineering Services – Israel Ministry of Energy</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QTE-2025-TEL-0487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Currency:</w:t>
      </w:r>
      <w:r>
        <w:t xml:space="preserve"> </w:t>
      </w:r>
      <w:r>
        <w:t xml:space="preserve">Israeli New Shekel (ILS / ₪)</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Levant Offshore Energy Partners Ltd.</w:t>
      </w:r>
    </w:p>
    <w:p>
      <w:pPr>
        <w:pStyle w:val="BodyText"/>
      </w:pPr>
      <w:r>
        <w:rPr>
          <w:bCs/>
          <w:b/>
        </w:rPr>
        <w:t xml:space="preserve">Address:</w:t>
      </w:r>
      <w:r>
        <w:t xml:space="preserve"> </w:t>
      </w:r>
      <w:r>
        <w:t xml:space="preserve">45 Dizengoff Center, Tel Aviv, Israel 63000</w:t>
      </w:r>
    </w:p>
    <w:p>
      <w:pPr>
        <w:pStyle w:val="BodyText"/>
      </w:pPr>
      <w:r>
        <w:rPr>
          <w:bCs/>
          <w:b/>
        </w:rPr>
        <w:t xml:space="preserve">Attn:</w:t>
      </w:r>
      <w:r>
        <w:t xml:space="preserve"> </w:t>
      </w:r>
      <w:r>
        <w:t xml:space="preserve">Mr. Daniel Rosen, Chief Operations Officer</w:t>
      </w:r>
    </w:p>
    <w:p>
      <w:pPr>
        <w:pStyle w:val="BodyText"/>
      </w:pPr>
      <w:r>
        <w:rPr>
          <w:bCs/>
          <w:b/>
        </w:rPr>
        <w:t xml:space="preserve">Project Ref:</w:t>
      </w:r>
      <w:r>
        <w:t xml:space="preserve"> </w:t>
      </w:r>
      <w:r>
        <w:t xml:space="preserve">LOEP-2025-Deepwater-Phase II</w:t>
      </w:r>
    </w:p>
    <w:bookmarkEnd w:id="22"/>
    <w:p>
      <w:pPr>
        <w:pStyle w:val="BodyText"/>
      </w:pPr>
      <w:r>
        <w:t xml:space="preserve">Dear Mr. Rosen,</w:t>
      </w:r>
    </w:p>
    <w:p>
      <w:pPr>
        <w:pStyle w:val="BodyText"/>
      </w:pPr>
      <w:r>
        <w:t xml:space="preserve">Thank you for the opportunity to submit this</w:t>
      </w:r>
      <w:r>
        <w:t xml:space="preserve"> </w:t>
      </w:r>
      <w:r>
        <w:t xml:space="preserve">Quotation Estimate</w:t>
      </w:r>
      <w:r>
        <w:t xml:space="preserve"> </w:t>
      </w:r>
      <w:r>
        <w:t xml:space="preserve">for the engagement of a senior</w:t>
      </w:r>
      <w:r>
        <w:t xml:space="preserve"> </w:t>
      </w:r>
      <w:r>
        <w:t xml:space="preserve">Petroleum Engineer</w:t>
      </w:r>
      <w:r>
        <w:t xml:space="preserve"> </w:t>
      </w:r>
      <w:r>
        <w:t xml:space="preserve">to support Levant Offshore Energy Partners Ltd. in the execution of your Deepwater Phase II exploration programme. This</w:t>
      </w:r>
      <w:r>
        <w:t xml:space="preserve"> </w:t>
      </w:r>
      <w:r>
        <w:t xml:space="preserve">Quotation Estimate</w:t>
      </w:r>
      <w:r>
        <w:t xml:space="preserve"> </w:t>
      </w:r>
      <w:r>
        <w:t xml:space="preserve">has been prepared specifically for operations conducted within the jurisdiction of</w:t>
      </w:r>
      <w:r>
        <w:t xml:space="preserve"> </w:t>
      </w:r>
      <w:r>
        <w:t xml:space="preserve">Israel Tel Aviv</w:t>
      </w:r>
      <w:r>
        <w:t xml:space="preserve"> </w:t>
      </w:r>
      <w:r>
        <w:t xml:space="preserve">and the adjacent offshore Mediterranean blocks, in full compliance with the regulations set forth by the Israel Ministry of Energy and the Israel Petroleum Authority.</w:t>
      </w:r>
    </w:p>
    <w:bookmarkStart w:id="23" w:name="Xf8b1d6752637adc72f15db30d160f47bfa1f0eb"/>
    <w:p>
      <w:pPr>
        <w:pStyle w:val="Heading2"/>
      </w:pPr>
      <w:r>
        <w:t xml:space="preserve">1. Scope of Services – Petroleum Engineer Engagement</w:t>
      </w:r>
    </w:p>
    <w:p>
      <w:pPr>
        <w:pStyle w:val="FirstParagraph"/>
      </w:pPr>
      <w:r>
        <w:t xml:space="preserve">The following</w:t>
      </w:r>
      <w:r>
        <w:t xml:space="preserve"> </w:t>
      </w:r>
      <w:r>
        <w:t xml:space="preserve">Quotation Estimate</w:t>
      </w:r>
      <w:r>
        <w:t xml:space="preserve"> </w:t>
      </w:r>
      <w:r>
        <w:t xml:space="preserve">covers the provision of a fully qualified</w:t>
      </w:r>
      <w:r>
        <w:t xml:space="preserve"> </w:t>
      </w:r>
      <w:r>
        <w:t xml:space="preserve">Petroleum Engineer</w:t>
      </w:r>
      <w:r>
        <w:t xml:space="preserve"> </w:t>
      </w:r>
      <w:r>
        <w:t xml:space="preserve">(minimum 15 years of experience in offshore reservoir management, well planning, and production optimisation) to be based in our Tel Aviv operations centre. The</w:t>
      </w:r>
      <w:r>
        <w:t xml:space="preserve"> </w:t>
      </w:r>
      <w:r>
        <w:t xml:space="preserve">Petroleum Engineer</w:t>
      </w:r>
      <w:r>
        <w:t xml:space="preserve"> </w:t>
      </w:r>
      <w:r>
        <w:t xml:space="preserve">will deliver the following services throughout the contract period:</w:t>
      </w:r>
    </w:p>
    <w:p>
      <w:pPr>
        <w:numPr>
          <w:ilvl w:val="0"/>
          <w:numId w:val="1001"/>
        </w:numPr>
        <w:pStyle w:val="Compact"/>
      </w:pPr>
      <w:r>
        <w:t xml:space="preserve">Reservoir modelling and simulation for the Leviathan and Tamar offshore gas fields, with reporting conducted from the</w:t>
      </w:r>
      <w:r>
        <w:t xml:space="preserve"> </w:t>
      </w:r>
      <w:r>
        <w:t xml:space="preserve">Israel Tel Aviv</w:t>
      </w:r>
      <w:r>
        <w:t xml:space="preserve"> </w:t>
      </w:r>
      <w:r>
        <w:t xml:space="preserve">headquarters.</w:t>
      </w:r>
    </w:p>
    <w:p>
      <w:pPr>
        <w:numPr>
          <w:ilvl w:val="0"/>
          <w:numId w:val="1001"/>
        </w:numPr>
        <w:pStyle w:val="Compact"/>
      </w:pPr>
      <w:r>
        <w:t xml:space="preserve">Well design review, hydraulic calculations, and completion engineering for all new and workover wells.</w:t>
      </w:r>
    </w:p>
    <w:p>
      <w:pPr>
        <w:numPr>
          <w:ilvl w:val="0"/>
          <w:numId w:val="1001"/>
        </w:numPr>
        <w:pStyle w:val="Compact"/>
      </w:pPr>
      <w:r>
        <w:t xml:space="preserve">Production forecasting, decline curve analysis, and enhanced recovery strategy development.</w:t>
      </w:r>
    </w:p>
    <w:p>
      <w:pPr>
        <w:numPr>
          <w:ilvl w:val="0"/>
          <w:numId w:val="1001"/>
        </w:numPr>
        <w:pStyle w:val="Compact"/>
      </w:pPr>
      <w:r>
        <w:t xml:space="preserve">Compliance auditing against Israel Petroleum Authority standards and international API/ISO norms.</w:t>
      </w:r>
    </w:p>
    <w:p>
      <w:pPr>
        <w:numPr>
          <w:ilvl w:val="0"/>
          <w:numId w:val="1001"/>
        </w:numPr>
        <w:pStyle w:val="Compact"/>
      </w:pPr>
      <w:r>
        <w:t xml:space="preserve">Monthly technical reporting and quarterly strategic presentations to the client's board in Tel Aviv.</w:t>
      </w:r>
    </w:p>
    <w:p>
      <w:pPr>
        <w:numPr>
          <w:ilvl w:val="0"/>
          <w:numId w:val="1001"/>
        </w:numPr>
        <w:pStyle w:val="Compact"/>
      </w:pPr>
      <w:r>
        <w:t xml:space="preserve">On-site inspection support at the Ashdod and Haifa processing facilities as required (up to 10 site visits per quarter).</w:t>
      </w:r>
    </w:p>
    <w:bookmarkEnd w:id="23"/>
    <w:bookmarkStart w:id="24" w:name="X933b72b6a68aac57c7a1f0100847fb4ad4967a3"/>
    <w:p>
      <w:pPr>
        <w:pStyle w:val="Heading2"/>
      </w:pPr>
      <w:r>
        <w:t xml:space="preserve">2. Quotation Estimate –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(ILS)</w:t>
            </w:r>
          </w:p>
        </w:tc>
        <w:tc>
          <w:tcPr/>
          <w:p>
            <w:pPr>
              <w:pStyle w:val="Compact"/>
              <w:jc w:val="left"/>
            </w:pPr>
            <w:r>
              <w:t xml:space="preserve">Quantity</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Senior Petroleum Engineer – Full-time engagement (reservoir, well, and production engineering)</w:t>
            </w:r>
          </w:p>
        </w:tc>
        <w:tc>
          <w:tcPr/>
          <w:p>
            <w:pPr>
              <w:pStyle w:val="Compact"/>
              <w:jc w:val="left"/>
            </w:pPr>
            <w:r>
              <w:t xml:space="preserve">12 months</w:t>
            </w:r>
          </w:p>
        </w:tc>
        <w:tc>
          <w:tcPr/>
          <w:p>
            <w:pPr>
              <w:pStyle w:val="Compact"/>
              <w:jc w:val="left"/>
            </w:pPr>
            <w:r>
              <w:t xml:space="preserve">₪ 42,000 / month</w:t>
            </w:r>
          </w:p>
        </w:tc>
        <w:tc>
          <w:tcPr/>
          <w:p>
            <w:pPr>
              <w:pStyle w:val="Compact"/>
              <w:jc w:val="left"/>
            </w:pPr>
            <w:r>
              <w:t xml:space="preserve">12</w:t>
            </w:r>
          </w:p>
        </w:tc>
        <w:tc>
          <w:tcPr/>
          <w:p>
            <w:pPr>
              <w:pStyle w:val="Compact"/>
              <w:jc w:val="left"/>
            </w:pPr>
            <w:r>
              <w:t xml:space="preserve">₪ 504,000.00</w:t>
            </w:r>
          </w:p>
        </w:tc>
      </w:tr>
      <w:tr>
        <w:tc>
          <w:tcPr/>
          <w:p>
            <w:pPr>
              <w:pStyle w:val="Compact"/>
              <w:jc w:val="left"/>
            </w:pPr>
            <w:r>
              <w:t xml:space="preserve">2</w:t>
            </w:r>
          </w:p>
        </w:tc>
        <w:tc>
          <w:tcPr/>
          <w:p>
            <w:pPr>
              <w:pStyle w:val="Compact"/>
              <w:jc w:val="left"/>
            </w:pPr>
            <w:r>
              <w:t xml:space="preserve">Reservoir simulation software licence (Petrel / Eclipse) – annual subscription</w:t>
            </w:r>
          </w:p>
        </w:tc>
        <w:tc>
          <w:tcPr/>
          <w:p>
            <w:pPr>
              <w:pStyle w:val="Compact"/>
              <w:jc w:val="left"/>
            </w:pPr>
            <w:r>
              <w:t xml:space="preserve">12 months</w:t>
            </w:r>
          </w:p>
        </w:tc>
        <w:tc>
          <w:tcPr/>
          <w:p>
            <w:pPr>
              <w:pStyle w:val="Compact"/>
              <w:jc w:val="left"/>
            </w:pPr>
            <w:r>
              <w:t xml:space="preserve">₪ 18,500 / year</w:t>
            </w:r>
          </w:p>
        </w:tc>
        <w:tc>
          <w:tcPr/>
          <w:p>
            <w:pPr>
              <w:pStyle w:val="Compact"/>
              <w:jc w:val="left"/>
            </w:pPr>
            <w:r>
              <w:t xml:space="preserve">1</w:t>
            </w:r>
          </w:p>
        </w:tc>
        <w:tc>
          <w:tcPr/>
          <w:p>
            <w:pPr>
              <w:pStyle w:val="Compact"/>
              <w:jc w:val="left"/>
            </w:pPr>
            <w:r>
              <w:t xml:space="preserve">₪ 18,500.00</w:t>
            </w:r>
          </w:p>
        </w:tc>
      </w:tr>
      <w:tr>
        <w:tc>
          <w:tcPr/>
          <w:p>
            <w:pPr>
              <w:pStyle w:val="Compact"/>
              <w:jc w:val="left"/>
            </w:pPr>
            <w:r>
              <w:t xml:space="preserve">3</w:t>
            </w:r>
          </w:p>
        </w:tc>
        <w:tc>
          <w:tcPr/>
          <w:p>
            <w:pPr>
              <w:pStyle w:val="Compact"/>
              <w:jc w:val="left"/>
            </w:pPr>
            <w:r>
              <w:t xml:space="preserve">On-site facility inspections (Ashdod, Haifa, and offshore platform support)</w:t>
            </w:r>
          </w:p>
        </w:tc>
        <w:tc>
          <w:tcPr/>
          <w:p>
            <w:pPr>
              <w:pStyle w:val="Compact"/>
              <w:jc w:val="left"/>
            </w:pPr>
            <w:r>
              <w:t xml:space="preserve">Per visit</w:t>
            </w:r>
          </w:p>
        </w:tc>
        <w:tc>
          <w:tcPr/>
          <w:p>
            <w:pPr>
              <w:pStyle w:val="Compact"/>
              <w:jc w:val="left"/>
            </w:pPr>
            <w:r>
              <w:t xml:space="preserve">₪ 3,200 / visit</w:t>
            </w:r>
          </w:p>
        </w:tc>
        <w:tc>
          <w:tcPr/>
          <w:p>
            <w:pPr>
              <w:pStyle w:val="Compact"/>
              <w:jc w:val="left"/>
            </w:pPr>
            <w:r>
              <w:t xml:space="preserve">40</w:t>
            </w:r>
          </w:p>
        </w:tc>
        <w:tc>
          <w:tcPr/>
          <w:p>
            <w:pPr>
              <w:pStyle w:val="Compact"/>
              <w:jc w:val="left"/>
            </w:pPr>
            <w:r>
              <w:t xml:space="preserve">₪ 128,000.00</w:t>
            </w:r>
          </w:p>
        </w:tc>
      </w:tr>
      <w:tr>
        <w:tc>
          <w:tcPr/>
          <w:p>
            <w:pPr>
              <w:pStyle w:val="Compact"/>
              <w:jc w:val="left"/>
            </w:pPr>
            <w:r>
              <w:t xml:space="preserve">4</w:t>
            </w:r>
          </w:p>
        </w:tc>
        <w:tc>
          <w:tcPr/>
          <w:p>
            <w:pPr>
              <w:pStyle w:val="Compact"/>
              <w:jc w:val="left"/>
            </w:pPr>
            <w:r>
              <w:t xml:space="preserve">Technical report preparation and regulatory compliance documentation for Israel Petroleum Authority</w:t>
            </w:r>
          </w:p>
        </w:tc>
        <w:tc>
          <w:tcPr/>
          <w:p>
            <w:pPr>
              <w:pStyle w:val="Compact"/>
              <w:jc w:val="left"/>
            </w:pPr>
            <w:r>
              <w:t xml:space="preserve">Per report</w:t>
            </w:r>
          </w:p>
        </w:tc>
        <w:tc>
          <w:tcPr/>
          <w:p>
            <w:pPr>
              <w:pStyle w:val="Compact"/>
              <w:jc w:val="left"/>
            </w:pPr>
            <w:r>
              <w:t xml:space="preserve">₪ 5,800 / report</w:t>
            </w:r>
          </w:p>
        </w:tc>
        <w:tc>
          <w:tcPr/>
          <w:p>
            <w:pPr>
              <w:pStyle w:val="Compact"/>
              <w:jc w:val="left"/>
            </w:pPr>
            <w:r>
              <w:t xml:space="preserve">12</w:t>
            </w:r>
          </w:p>
        </w:tc>
        <w:tc>
          <w:tcPr/>
          <w:p>
            <w:pPr>
              <w:pStyle w:val="Compact"/>
              <w:jc w:val="left"/>
            </w:pPr>
            <w:r>
              <w:t xml:space="preserve">₪ 69,600.00</w:t>
            </w:r>
          </w:p>
        </w:tc>
      </w:tr>
      <w:tr>
        <w:tc>
          <w:tcPr/>
          <w:p>
            <w:pPr>
              <w:pStyle w:val="Compact"/>
              <w:jc w:val="left"/>
            </w:pPr>
            <w:r>
              <w:t xml:space="preserve">5</w:t>
            </w:r>
          </w:p>
        </w:tc>
        <w:tc>
          <w:tcPr/>
          <w:p>
            <w:pPr>
              <w:pStyle w:val="Compact"/>
              <w:jc w:val="left"/>
            </w:pPr>
            <w:r>
              <w:t xml:space="preserve">Emergency call-out and after-hours support (Petroleum Engineer on-call, Tel Aviv metro area)</w:t>
            </w:r>
          </w:p>
        </w:tc>
        <w:tc>
          <w:tcPr/>
          <w:p>
            <w:pPr>
              <w:pStyle w:val="Compact"/>
              <w:jc w:val="left"/>
            </w:pPr>
            <w:r>
              <w:t xml:space="preserve">Annual</w:t>
            </w:r>
          </w:p>
        </w:tc>
        <w:tc>
          <w:tcPr/>
          <w:p>
            <w:pPr>
              <w:pStyle w:val="Compact"/>
              <w:jc w:val="left"/>
            </w:pPr>
            <w:r>
              <w:t xml:space="preserve">₪ 1,200 / month</w:t>
            </w:r>
          </w:p>
        </w:tc>
        <w:tc>
          <w:tcPr/>
          <w:p>
            <w:pPr>
              <w:pStyle w:val="Compact"/>
              <w:jc w:val="left"/>
            </w:pPr>
            <w:r>
              <w:t xml:space="preserve">12</w:t>
            </w:r>
          </w:p>
        </w:tc>
        <w:tc>
          <w:tcPr/>
          <w:p>
            <w:pPr>
              <w:pStyle w:val="Compact"/>
              <w:jc w:val="left"/>
            </w:pPr>
            <w:r>
              <w:t xml:space="preserve">₪ 14,400.00</w:t>
            </w:r>
          </w:p>
        </w:tc>
      </w:tr>
      <w:tr>
        <w:tc>
          <w:tcPr/>
          <w:p>
            <w:pPr>
              <w:pStyle w:val="Compact"/>
              <w:jc w:val="left"/>
            </w:pPr>
            <w:r>
              <w:t xml:space="preserve">6</w:t>
            </w:r>
          </w:p>
        </w:tc>
        <w:tc>
          <w:tcPr/>
          <w:p>
            <w:pPr>
              <w:pStyle w:val="Compact"/>
              <w:jc w:val="left"/>
            </w:pPr>
            <w:r>
              <w:t xml:space="preserve">Travel and accommodation for offshore platform rotations (Tel Aviv port to Leviathan/Tamar)</w:t>
            </w:r>
          </w:p>
        </w:tc>
        <w:tc>
          <w:tcPr/>
          <w:p>
            <w:pPr>
              <w:pStyle w:val="Compact"/>
              <w:jc w:val="left"/>
            </w:pPr>
            <w:r>
              <w:t xml:space="preserve">Per rotation</w:t>
            </w:r>
          </w:p>
        </w:tc>
        <w:tc>
          <w:tcPr/>
          <w:p>
            <w:pPr>
              <w:pStyle w:val="Compact"/>
              <w:jc w:val="left"/>
            </w:pPr>
            <w:r>
              <w:t xml:space="preserve">₪ 7,500 / rotation</w:t>
            </w:r>
          </w:p>
        </w:tc>
        <w:tc>
          <w:tcPr/>
          <w:p>
            <w:pPr>
              <w:pStyle w:val="Compact"/>
              <w:jc w:val="left"/>
            </w:pPr>
            <w:r>
              <w:t xml:space="preserve">8</w:t>
            </w:r>
          </w:p>
        </w:tc>
        <w:tc>
          <w:tcPr/>
          <w:p>
            <w:pPr>
              <w:pStyle w:val="Compact"/>
              <w:jc w:val="left"/>
            </w:pPr>
            <w:r>
              <w:t xml:space="preserve">₪ 60,000.00</w:t>
            </w:r>
          </w:p>
        </w:tc>
      </w:tr>
      <w:tr>
        <w:tc>
          <w:tcPr/>
          <w:p>
            <w:pPr>
              <w:pStyle w:val="Compact"/>
              <w:jc w:val="left"/>
            </w:pPr>
            <w:r>
              <w:t xml:space="preserve">7</w:t>
            </w:r>
          </w:p>
        </w:tc>
        <w:tc>
          <w:tcPr/>
          <w:p>
            <w:pPr>
              <w:pStyle w:val="Compact"/>
              <w:jc w:val="left"/>
            </w:pPr>
            <w:r>
              <w:t xml:space="preserve">Project management coordination and client liaison (Tel Aviv office)</w:t>
            </w:r>
          </w:p>
        </w:tc>
        <w:tc>
          <w:tcPr/>
          <w:p>
            <w:pPr>
              <w:pStyle w:val="Compact"/>
              <w:jc w:val="left"/>
            </w:pPr>
            <w:r>
              <w:t xml:space="preserve">12 months</w:t>
            </w:r>
          </w:p>
        </w:tc>
        <w:tc>
          <w:tcPr/>
          <w:p>
            <w:pPr>
              <w:pStyle w:val="Compact"/>
              <w:jc w:val="left"/>
            </w:pPr>
            <w:r>
              <w:t xml:space="preserve">₪ 8,000 / month</w:t>
            </w:r>
          </w:p>
        </w:tc>
        <w:tc>
          <w:tcPr/>
          <w:p>
            <w:pPr>
              <w:pStyle w:val="Compact"/>
              <w:jc w:val="left"/>
            </w:pPr>
            <w:r>
              <w:t xml:space="preserve">12</w:t>
            </w:r>
          </w:p>
        </w:tc>
        <w:tc>
          <w:tcPr/>
          <w:p>
            <w:pPr>
              <w:pStyle w:val="Compact"/>
              <w:jc w:val="left"/>
            </w:pPr>
            <w:r>
              <w:t xml:space="preserve">₪ 96,000.00</w:t>
            </w:r>
          </w:p>
        </w:tc>
      </w:tr>
      <w:tr>
        <w:tc>
          <w:tcPr>
            <w:gridSpan w:val="5"/>
          </w:tcPr>
          <w:p>
            <w:pPr>
              <w:pStyle w:val="Compact"/>
              <w:jc w:val="right"/>
            </w:pPr>
            <w:r>
              <w:t xml:space="preserve">Subtotal</w:t>
            </w:r>
          </w:p>
        </w:tc>
        <w:tc>
          <w:tcPr/>
          <w:p>
            <w:pPr>
              <w:pStyle w:val="Compact"/>
              <w:jc w:val="left"/>
            </w:pPr>
            <w:r>
              <w:t xml:space="preserve">₪ 890,500.00</w:t>
            </w:r>
          </w:p>
        </w:tc>
      </w:tr>
      <w:tr>
        <w:tc>
          <w:tcPr>
            <w:gridSpan w:val="5"/>
          </w:tcPr>
          <w:p>
            <w:pPr>
              <w:pStyle w:val="Compact"/>
              <w:jc w:val="right"/>
            </w:pPr>
            <w:r>
              <w:t xml:space="preserve">VAT (18%)</w:t>
            </w:r>
          </w:p>
        </w:tc>
        <w:tc>
          <w:tcPr/>
          <w:p>
            <w:pPr>
              <w:pStyle w:val="Compact"/>
              <w:jc w:val="left"/>
            </w:pPr>
            <w:r>
              <w:t xml:space="preserve">₪ 160,290.00</w:t>
            </w:r>
          </w:p>
        </w:tc>
      </w:tr>
      <w:tr>
        <w:tc>
          <w:tcPr>
            <w:gridSpan w:val="5"/>
          </w:tcPr>
          <w:p>
            <w:pPr>
              <w:pStyle w:val="Compact"/>
              <w:jc w:val="right"/>
            </w:pPr>
            <w:r>
              <w:t xml:space="preserve">Grand Total (Quotation Estimate)</w:t>
            </w:r>
          </w:p>
        </w:tc>
        <w:tc>
          <w:tcPr/>
          <w:p>
            <w:pPr>
              <w:pStyle w:val="Compact"/>
              <w:jc w:val="left"/>
            </w:pPr>
            <w:r>
              <w:t xml:space="preserve">₪ 1,050,790.00</w:t>
            </w:r>
          </w:p>
        </w:tc>
      </w:tr>
    </w:tbl>
    <w:bookmarkEnd w:id="24"/>
    <w:bookmarkStart w:id="25" w:name="terms-and-conditions"/>
    <w:p>
      <w:pPr>
        <w:pStyle w:val="Heading2"/>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Any engagement beyond this period will require a revised</w:t>
      </w:r>
      <w:r>
        <w:t xml:space="preserve"> </w:t>
      </w:r>
      <w:r>
        <w:t xml:space="preserve">Quotation Estimate</w:t>
      </w:r>
      <w:r>
        <w:t xml:space="preserve"> </w:t>
      </w:r>
      <w:r>
        <w:t xml:space="preserve">reflecting current market rates for</w:t>
      </w:r>
      <w:r>
        <w:t xml:space="preserve"> </w:t>
      </w:r>
      <w:r>
        <w:t xml:space="preserve">Petroleum Engineer</w:t>
      </w:r>
      <w:r>
        <w:t xml:space="preserve"> </w:t>
      </w:r>
      <w:r>
        <w:t xml:space="preserve">services in the</w:t>
      </w:r>
      <w:r>
        <w:t xml:space="preserve"> </w:t>
      </w:r>
      <w:r>
        <w:t xml:space="preserve">Israel Tel Aviv</w:t>
      </w:r>
      <w:r>
        <w:t xml:space="preserve"> </w:t>
      </w:r>
      <w:r>
        <w:t xml:space="preserve">region.</w:t>
      </w:r>
    </w:p>
    <w:p>
      <w:pPr>
        <w:numPr>
          <w:ilvl w:val="0"/>
          <w:numId w:val="1002"/>
        </w:numPr>
        <w:pStyle w:val="Compact"/>
      </w:pPr>
      <w:r>
        <w:t xml:space="preserve">All pricing is denominated in Israeli New Shekels (ILS). The</w:t>
      </w:r>
      <w:r>
        <w:t xml:space="preserve"> </w:t>
      </w:r>
      <w:r>
        <w:t xml:space="preserve">Petroleum Engineer</w:t>
      </w:r>
      <w:r>
        <w:t xml:space="preserve"> </w:t>
      </w:r>
      <w:r>
        <w:t xml:space="preserve">will be engaged under a professional services contract governed by the laws of the State of Israel, with the principal place of performance being Tel Aviv, Israel.</w:t>
      </w:r>
    </w:p>
    <w:p>
      <w:pPr>
        <w:numPr>
          <w:ilvl w:val="0"/>
          <w:numId w:val="1002"/>
        </w:numPr>
        <w:pStyle w:val="Compact"/>
      </w:pPr>
      <w:r>
        <w:t xml:space="preserve">Payment terms: 30% advance upon contract signing, 40% upon completion of month six, and 30% upon final delivery and acceptance of all reports. Invoices are payable within thirty (30) days of receipt.</w:t>
      </w:r>
    </w:p>
    <w:p>
      <w:pPr>
        <w:numPr>
          <w:ilvl w:val="0"/>
          <w:numId w:val="1002"/>
        </w:numPr>
        <w:pStyle w:val="Compact"/>
      </w:pPr>
      <w:r>
        <w:t xml:space="preserve">The</w:t>
      </w:r>
      <w:r>
        <w:t xml:space="preserve"> </w:t>
      </w:r>
      <w:r>
        <w:t xml:space="preserve">Petroleum Engineer</w:t>
      </w:r>
      <w:r>
        <w:t xml:space="preserve"> </w:t>
      </w:r>
      <w:r>
        <w:t xml:space="preserve">shall maintain professional indemnity insurance with a minimum coverage of ₪ 5,000,000, as required by the Israel Ministry of Energy for licensed petroleum engineering practitioners operating in</w:t>
      </w:r>
      <w:r>
        <w:t xml:space="preserve"> </w:t>
      </w:r>
      <w:r>
        <w:t xml:space="preserve">Israel Tel Aviv</w:t>
      </w:r>
      <w:r>
        <w:t xml:space="preserve"> </w:t>
      </w:r>
      <w:r>
        <w:t xml:space="preserve">and its offshore jurisdictions.</w:t>
      </w:r>
    </w:p>
    <w:p>
      <w:pPr>
        <w:numPr>
          <w:ilvl w:val="0"/>
          <w:numId w:val="1002"/>
        </w:numPr>
        <w:pStyle w:val="Compact"/>
      </w:pPr>
      <w:r>
        <w:t xml:space="preserve">Confidentiality: All data, reservoir models, and production figures shared during the engagement are subject to a mutual Non-Disclosure Agreement (NDA) to be executed prior to commencement of work.</w:t>
      </w:r>
    </w:p>
    <w:p>
      <w:pPr>
        <w:numPr>
          <w:ilvl w:val="0"/>
          <w:numId w:val="1002"/>
        </w:numPr>
        <w:pStyle w:val="Compact"/>
      </w:pPr>
      <w:r>
        <w:t xml:space="preserve">Force Majeure: Neither party shall be liable for delays caused by events beyond reasonable control, including but not limited to natural disasters, government sanctions, or restrictions imposed by the Israel Petroleum Authority on offshore operations.</w:t>
      </w:r>
    </w:p>
    <w:p>
      <w:pPr>
        <w:numPr>
          <w:ilvl w:val="0"/>
          <w:numId w:val="1002"/>
        </w:numPr>
        <w:pStyle w:val="Compact"/>
      </w:pPr>
      <w:r>
        <w:t xml:space="preserve">Termination: Either party may terminate the engagement with sixty (60) days' written notice. In such case, the client shall pay for all services rendered up to the termination date as outlined in this</w:t>
      </w:r>
      <w:r>
        <w:t xml:space="preserve"> </w:t>
      </w:r>
      <w:r>
        <w:t xml:space="preserve">Quotation Estimate</w:t>
      </w:r>
      <w:r>
        <w:t xml:space="preserve">.</w:t>
      </w:r>
    </w:p>
    <w:p>
      <w:pPr>
        <w:numPr>
          <w:ilvl w:val="0"/>
          <w:numId w:val="1002"/>
        </w:numPr>
        <w:pStyle w:val="Compact"/>
      </w:pPr>
      <w:r>
        <w:t xml:space="preserve">Dispute resolution: Any disputes arising from this</w:t>
      </w:r>
      <w:r>
        <w:t xml:space="preserve"> </w:t>
      </w:r>
      <w:r>
        <w:t xml:space="preserve">Quotation Estimate</w:t>
      </w:r>
      <w:r>
        <w:t xml:space="preserve"> </w:t>
      </w:r>
      <w:r>
        <w:t xml:space="preserve">or the resulting contract shall be resolved through arbitration in Tel Aviv, Israel, in accordance with the rules of the Tel Aviv Arbitration Centre.</w:t>
      </w:r>
    </w:p>
    <w:bookmarkEnd w:id="25"/>
    <w:bookmarkStart w:id="26" w:name="acceptance-and-authorisation"/>
    <w:p>
      <w:pPr>
        <w:pStyle w:val="Heading2"/>
      </w:pPr>
      <w:r>
        <w:t xml:space="preserve">4.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Petroleum Engineer</w:t>
      </w:r>
      <w:r>
        <w:t xml:space="preserve"> </w:t>
      </w:r>
      <w:r>
        <w:t xml:space="preserve">to perform the services described herein in connection with operations in</w:t>
      </w:r>
      <w:r>
        <w:t xml:space="preserve"> </w:t>
      </w:r>
      <w:r>
        <w:t xml:space="preserve">Israel Tel Aviv</w:t>
      </w:r>
      <w:r>
        <w:t xml:space="preserve"> </w:t>
      </w:r>
      <w:r>
        <w:t xml:space="preserve">and the adjacent offshore Mediterranean blocks.</w:t>
      </w:r>
    </w:p>
    <w:p>
      <w:pPr>
        <w:pStyle w:val="BodyText"/>
      </w:pPr>
      <w:r>
        <w:rPr>
          <w:bCs/>
          <w:b/>
        </w:rPr>
        <w:t xml:space="preserve">For and on behalf of MedEast Energy Consulting Ltd.</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Levant Offshore Energy Partners Ltd.</w:t>
      </w:r>
    </w:p>
    <w:p>
      <w:pPr>
        <w:pStyle w:val="BodyText"/>
      </w:pPr>
      <w:r>
        <w:t xml:space="preserve">Name: ______________________________</w:t>
      </w:r>
    </w:p>
    <w:p>
      <w:pPr>
        <w:pStyle w:val="BodyText"/>
      </w:pPr>
      <w:r>
        <w:t xml:space="preserve">Title: Chief Operations Officer</w:t>
      </w:r>
    </w:p>
    <w:p>
      <w:pPr>
        <w:pStyle w:val="BodyText"/>
      </w:pPr>
      <w:r>
        <w:t xml:space="preserve">Signature: ______________________________</w:t>
      </w:r>
    </w:p>
    <w:p>
      <w:pPr>
        <w:pStyle w:val="BodyText"/>
      </w:pPr>
      <w:r>
        <w:t xml:space="preserve">Date: ______________________________</w:t>
      </w:r>
    </w:p>
    <w:p>
      <w:pPr>
        <w:pStyle w:val="BodyText"/>
      </w:pPr>
      <w:r>
        <w:t xml:space="preserve">MedEast Energy Consulting Ltd. | 12 HaYarkon Street, Tel Aviv-Yafo, Israel 63281 | VAT: 51-800-442-10</w:t>
      </w:r>
    </w:p>
    <w:p>
      <w:pPr>
        <w:pStyle w:val="BodyText"/>
      </w:pPr>
      <w:r>
        <w:t xml:space="preserve">This Quotation Estimate is a commercial document and does not constitute a binding contract until countersigned by both parties.</w:t>
      </w:r>
    </w:p>
    <w:p>
      <w:pPr>
        <w:pStyle w:val="BodyText"/>
      </w:pPr>
      <w:r>
        <w:t xml:space="preserve">Page 1 of 1 | Document Ref: QTE-2025-TEL-0487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Israel Tel Aviv</dc:title>
  <dc:creator/>
  <dc:language>en</dc:language>
  <cp:keywords/>
  <dcterms:created xsi:type="dcterms:W3CDTF">2026-10-10T04:08:17Z</dcterms:created>
  <dcterms:modified xsi:type="dcterms:W3CDTF">2026-10-10T04:08:17Z</dcterms:modified>
</cp:coreProperties>
</file>

<file path=docProps/custom.xml><?xml version="1.0" encoding="utf-8"?>
<Properties xmlns="http://schemas.openxmlformats.org/officeDocument/2006/custom-properties" xmlns:vt="http://schemas.openxmlformats.org/officeDocument/2006/docPropsVTypes"/>
</file>