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Petroleum Engineering Services</w:t>
      </w:r>
    </w:p>
    <w:p>
      <w:pPr>
        <w:pStyle w:val="BodyText"/>
      </w:pPr>
      <w:r>
        <w:t xml:space="preserve">Prepared for Operations in Italy Rome</w:t>
      </w:r>
    </w:p>
    <w:bookmarkEnd w:id="20"/>
    <w:p>
      <w:pPr>
        <w:pStyle w:val="BodyText"/>
      </w:pPr>
      <w:r>
        <w:rPr>
          <w:bCs/>
          <w:b/>
        </w:rPr>
        <w:t xml:space="preserve">Quotation Reference No.:</w:t>
      </w:r>
      <w:r>
        <w:t xml:space="preserve"> </w:t>
      </w:r>
      <w:r>
        <w:t xml:space="preserve">QE-PR-2025-0472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Engr. Marco De Santis, P.Eng.</w:t>
      </w:r>
      <w:r>
        <w:br/>
      </w:r>
      <w:r>
        <w:rPr>
          <w:bCs/>
          <w:b/>
        </w:rPr>
        <w:t xml:space="preserve">Company:</w:t>
      </w:r>
      <w:r>
        <w:t xml:space="preserve"> </w:t>
      </w:r>
      <w:r>
        <w:t xml:space="preserve">Adriatic Energy Consulting S.r.l.</w:t>
      </w:r>
      <w:r>
        <w:br/>
      </w:r>
      <w:r>
        <w:rPr>
          <w:bCs/>
          <w:b/>
        </w:rPr>
        <w:t xml:space="preserve">Location:</w:t>
      </w:r>
      <w:r>
        <w:t xml:space="preserve"> </w:t>
      </w:r>
      <w:r>
        <w:t xml:space="preserve">Via del Corso 142, 00186 Rome, Italy</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Tirreno Subsurface Resources S.p.A.</w:t>
            </w:r>
          </w:p>
        </w:tc>
      </w:tr>
      <w:tr>
        <w:tc>
          <w:tcPr/>
          <w:p>
            <w:pPr>
              <w:pStyle w:val="Compact"/>
              <w:jc w:val="left"/>
            </w:pPr>
            <w:r>
              <w:t xml:space="preserve">Project Site</w:t>
            </w:r>
          </w:p>
        </w:tc>
        <w:tc>
          <w:tcPr/>
          <w:p>
            <w:pPr>
              <w:pStyle w:val="Compact"/>
              <w:jc w:val="left"/>
            </w:pPr>
            <w:r>
              <w:t xml:space="preserve">Offshore Adriatic Basin, Italy Rome jurisdictional waters</w:t>
            </w:r>
          </w:p>
        </w:tc>
      </w:tr>
      <w:tr>
        <w:tc>
          <w:tcPr/>
          <w:p>
            <w:pPr>
              <w:pStyle w:val="Compact"/>
              <w:jc w:val="left"/>
            </w:pPr>
            <w:r>
              <w:t xml:space="preserve">Project Reference</w:t>
            </w:r>
          </w:p>
        </w:tc>
        <w:tc>
          <w:tcPr/>
          <w:p>
            <w:pPr>
              <w:pStyle w:val="Compact"/>
              <w:jc w:val="left"/>
            </w:pPr>
            <w:r>
              <w:t xml:space="preserve">TSR-2025-Phase II Reservoir Characterization</w:t>
            </w:r>
          </w:p>
        </w:tc>
      </w:tr>
      <w:tr>
        <w:tc>
          <w:tcPr/>
          <w:p>
            <w:pPr>
              <w:pStyle w:val="Compact"/>
              <w:jc w:val="left"/>
            </w:pPr>
            <w:r>
              <w:t xml:space="preserve">Point of Contact</w:t>
            </w:r>
          </w:p>
        </w:tc>
        <w:tc>
          <w:tcPr/>
          <w:p>
            <w:pPr>
              <w:pStyle w:val="Compact"/>
              <w:jc w:val="left"/>
            </w:pPr>
            <w:r>
              <w:t xml:space="preserve">Dr. Elena Marchetti, Chief Geoscientist</w:t>
            </w:r>
          </w:p>
        </w:tc>
      </w:tr>
    </w:tbl>
    <w:bookmarkEnd w:id="21"/>
    <w:bookmarkStart w:id="22" w:name="X677d8340dc65459e5630d1205e2120c8a9f0dea"/>
    <w:p>
      <w:pPr>
        <w:pStyle w:val="Heading2"/>
      </w:pPr>
      <w:r>
        <w:t xml:space="preserve">2. Scope of Work – Petroleum Engineer Services in Italy Rome</w:t>
      </w:r>
    </w:p>
    <w:p>
      <w:pPr>
        <w:pStyle w:val="FirstParagraph"/>
      </w:pPr>
      <w:r>
        <w:t xml:space="preserve">This Quotation Estimate outlines the comprehensive professional services to be delivered by a senior Petroleum Engineer engaged to support Tirreno Subsurface Resources S.p.A. in the execution of Phase II reservoir characterization activities. All technical work will be coordinated from our principal office in Italy Rome, with on-site mobilization to the offshore platform located approximately 85 nautical miles southeast of the Roman coastline.</w:t>
      </w:r>
    </w:p>
    <w:p>
      <w:pPr>
        <w:pStyle w:val="BodyText"/>
      </w:pPr>
      <w:r>
        <w:t xml:space="preserve">The Petroleum Engineer will be responsible for the following deliverables and activities:</w:t>
      </w:r>
    </w:p>
    <w:p>
      <w:pPr>
        <w:numPr>
          <w:ilvl w:val="0"/>
          <w:numId w:val="1001"/>
        </w:numPr>
        <w:pStyle w:val="Compact"/>
      </w:pPr>
      <w:r>
        <w:t xml:space="preserve">Reservoir modeling and simulation using industry-standard software (Eclipse, CMG) for the target carbonate reservoir in the Adriatic Basin.</w:t>
      </w:r>
    </w:p>
    <w:p>
      <w:pPr>
        <w:numPr>
          <w:ilvl w:val="0"/>
          <w:numId w:val="1001"/>
        </w:numPr>
        <w:pStyle w:val="Compact"/>
      </w:pPr>
      <w:r>
        <w:t xml:space="preserve">Well performance analysis and production forecasting for twelve (12) existing wells and four (4) planned development wells.</w:t>
      </w:r>
    </w:p>
    <w:p>
      <w:pPr>
        <w:numPr>
          <w:ilvl w:val="0"/>
          <w:numId w:val="1001"/>
        </w:numPr>
        <w:pStyle w:val="Compact"/>
      </w:pPr>
      <w:r>
        <w:t xml:space="preserve">Preparation of a detailed water injection optimization plan compliant with Italian Ministry of Transition Ecological regulations.</w:t>
      </w:r>
    </w:p>
    <w:p>
      <w:pPr>
        <w:numPr>
          <w:ilvl w:val="0"/>
          <w:numId w:val="1001"/>
        </w:numPr>
        <w:pStyle w:val="Compact"/>
      </w:pPr>
      <w:r>
        <w:t xml:space="preserve">Conduct of relative permeability and capillary pressure curve analysis for heterogeneous reservoir zones.</w:t>
      </w:r>
    </w:p>
    <w:p>
      <w:pPr>
        <w:numPr>
          <w:ilvl w:val="0"/>
          <w:numId w:val="1001"/>
        </w:numPr>
        <w:pStyle w:val="Compact"/>
      </w:pPr>
      <w:r>
        <w:t xml:space="preserve">Monthly technical reporting and presentation to the client's technical committee in Italy Rome.</w:t>
      </w:r>
    </w:p>
    <w:p>
      <w:pPr>
        <w:numPr>
          <w:ilvl w:val="0"/>
          <w:numId w:val="1001"/>
        </w:numPr>
        <w:pStyle w:val="Compact"/>
      </w:pPr>
      <w:r>
        <w:t xml:space="preserve">Regulatory compliance review in accordance with ENI/Italian National Agency for New Technologies, Energy and Sustainable Economic Development (ENEA) guidelines.</w:t>
      </w:r>
    </w:p>
    <w:bookmarkEnd w:id="22"/>
    <w:bookmarkStart w:id="23" w:name="professional-qualifications"/>
    <w:p>
      <w:pPr>
        <w:pStyle w:val="Heading2"/>
      </w:pPr>
      <w:r>
        <w:t xml:space="preserve">3. Professional Qualifications</w:t>
      </w:r>
    </w:p>
    <w:p>
      <w:pPr>
        <w:pStyle w:val="FirstParagraph"/>
      </w:pPr>
      <w:r>
        <w:t xml:space="preserve">The Petroleum Engineer assigned to this engagement holds a Ph.D. in Petroleum Engineering from the Sapienza University of Rome, with over fourteen (14) years of progressive experience in onshore and offshore reservoir engineering. The engineer is a registered member of the Italian Association of Petroleum Engineers (AIP) and holds valid professional liability insurance as required for operations within Italy Rome and the broader Lazio region. All work will be performed in strict adherence to the Italian Civil Code provisions governing professional services contracts (Articles 2236–2242).</w:t>
      </w:r>
    </w:p>
    <w:bookmarkEnd w:id="23"/>
    <w:bookmarkStart w:id="24" w:name="quotation-estimate-financial-breakdown"/>
    <w:p>
      <w:pPr>
        <w:pStyle w:val="Heading2"/>
      </w:pPr>
      <w:r>
        <w:t xml:space="preserve">4. Quotation Estimate –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Reservoir modeling and numerical simulation (initial setup, history matching, and forecasting)</w:t>
            </w:r>
          </w:p>
        </w:tc>
        <w:tc>
          <w:tcPr/>
          <w:p>
            <w:pPr>
              <w:pStyle w:val="Compact"/>
              <w:jc w:val="left"/>
            </w:pPr>
            <w:r>
              <w:t xml:space="preserve">6 weeks</w:t>
            </w:r>
          </w:p>
        </w:tc>
        <w:tc>
          <w:tcPr/>
          <w:p>
            <w:pPr>
              <w:pStyle w:val="Compact"/>
              <w:jc w:val="left"/>
            </w:pPr>
            <w:r>
              <w:t xml:space="preserve">1,850 / day</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Well performance analysis and production forecasting (16 wells)</w:t>
            </w:r>
          </w:p>
        </w:tc>
        <w:tc>
          <w:tcPr/>
          <w:p>
            <w:pPr>
              <w:pStyle w:val="Compact"/>
              <w:jc w:val="left"/>
            </w:pPr>
            <w:r>
              <w:t xml:space="preserve">4 weeks</w:t>
            </w:r>
          </w:p>
        </w:tc>
        <w:tc>
          <w:tcPr/>
          <w:p>
            <w:pPr>
              <w:pStyle w:val="Compact"/>
              <w:jc w:val="left"/>
            </w:pPr>
            <w:r>
              <w:t xml:space="preserve">1,850 / day</w:t>
            </w:r>
          </w:p>
        </w:tc>
        <w:tc>
          <w:tcPr/>
          <w:p>
            <w:pPr>
              <w:pStyle w:val="Compact"/>
              <w:jc w:val="left"/>
            </w:pPr>
            <w:r>
              <w:t xml:space="preserve">37,000.00</w:t>
            </w:r>
          </w:p>
        </w:tc>
      </w:tr>
      <w:tr>
        <w:tc>
          <w:tcPr/>
          <w:p>
            <w:pPr>
              <w:pStyle w:val="Compact"/>
              <w:jc w:val="left"/>
            </w:pPr>
            <w:r>
              <w:t xml:space="preserve">03</w:t>
            </w:r>
          </w:p>
        </w:tc>
        <w:tc>
          <w:tcPr/>
          <w:p>
            <w:pPr>
              <w:pStyle w:val="Compact"/>
              <w:jc w:val="left"/>
            </w:pPr>
            <w:r>
              <w:t xml:space="preserve">Water injection optimization plan and regulatory compliance documentation</w:t>
            </w:r>
          </w:p>
        </w:tc>
        <w:tc>
          <w:tcPr/>
          <w:p>
            <w:pPr>
              <w:pStyle w:val="Compact"/>
              <w:jc w:val="left"/>
            </w:pPr>
            <w:r>
              <w:t xml:space="preserve">3 weeks</w:t>
            </w:r>
          </w:p>
        </w:tc>
        <w:tc>
          <w:tcPr/>
          <w:p>
            <w:pPr>
              <w:pStyle w:val="Compact"/>
              <w:jc w:val="left"/>
            </w:pPr>
            <w:r>
              <w:t xml:space="preserve">1,850 / day</w:t>
            </w:r>
          </w:p>
        </w:tc>
        <w:tc>
          <w:tcPr/>
          <w:p>
            <w:pPr>
              <w:pStyle w:val="Compact"/>
              <w:jc w:val="left"/>
            </w:pPr>
            <w:r>
              <w:t xml:space="preserve">27,750.00</w:t>
            </w:r>
          </w:p>
        </w:tc>
      </w:tr>
      <w:tr>
        <w:tc>
          <w:tcPr/>
          <w:p>
            <w:pPr>
              <w:pStyle w:val="Compact"/>
              <w:jc w:val="left"/>
            </w:pPr>
            <w:r>
              <w:t xml:space="preserve">04</w:t>
            </w:r>
          </w:p>
        </w:tc>
        <w:tc>
          <w:tcPr/>
          <w:p>
            <w:pPr>
              <w:pStyle w:val="Compact"/>
              <w:jc w:val="left"/>
            </w:pPr>
            <w:r>
              <w:t xml:space="preserve">Relative permeability and capillary pressure analysis</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Monthly technical reporting and committee presentations in Italy Rome (4 months)</w:t>
            </w:r>
          </w:p>
        </w:tc>
        <w:tc>
          <w:tcPr/>
          <w:p>
            <w:pPr>
              <w:pStyle w:val="Compact"/>
              <w:jc w:val="left"/>
            </w:pPr>
            <w:r>
              <w:t xml:space="preserve">4 months</w:t>
            </w:r>
          </w:p>
        </w:tc>
        <w:tc>
          <w:tcPr/>
          <w:p>
            <w:pPr>
              <w:pStyle w:val="Compact"/>
              <w:jc w:val="left"/>
            </w:pPr>
            <w:r>
              <w:t xml:space="preserve">2,200 / month</w:t>
            </w:r>
          </w:p>
        </w:tc>
        <w:tc>
          <w:tcPr/>
          <w:p>
            <w:pPr>
              <w:pStyle w:val="Compact"/>
              <w:jc w:val="left"/>
            </w:pPr>
            <w:r>
              <w:t xml:space="preserve">8,800.00</w:t>
            </w:r>
          </w:p>
        </w:tc>
      </w:tr>
      <w:tr>
        <w:tc>
          <w:tcPr/>
          <w:p>
            <w:pPr>
              <w:pStyle w:val="Compact"/>
              <w:jc w:val="left"/>
            </w:pPr>
            <w:r>
              <w:t xml:space="preserve">06</w:t>
            </w:r>
          </w:p>
        </w:tc>
        <w:tc>
          <w:tcPr/>
          <w:p>
            <w:pPr>
              <w:pStyle w:val="Compact"/>
              <w:jc w:val="left"/>
            </w:pPr>
            <w:r>
              <w:t xml:space="preserve">On-site mobilization to offshore platform (travel, accommodation, per diem)</w:t>
            </w:r>
          </w:p>
        </w:tc>
        <w:tc>
          <w:tcPr/>
          <w:p>
            <w:pPr>
              <w:pStyle w:val="Compact"/>
              <w:jc w:val="left"/>
            </w:pPr>
            <w:r>
              <w:t xml:space="preserve">10 days</w:t>
            </w:r>
          </w:p>
        </w:tc>
        <w:tc>
          <w:tcPr/>
          <w:p>
            <w:pPr>
              <w:pStyle w:val="Compact"/>
              <w:jc w:val="left"/>
            </w:pPr>
            <w:r>
              <w:t xml:space="preserve">650 / day</w:t>
            </w:r>
          </w:p>
        </w:tc>
        <w:tc>
          <w:tcPr/>
          <w:p>
            <w:pPr>
              <w:pStyle w:val="Compact"/>
              <w:jc w:val="left"/>
            </w:pPr>
            <w:r>
              <w:t xml:space="preserve">6,500.00</w:t>
            </w:r>
          </w:p>
        </w:tc>
      </w:tr>
      <w:tr>
        <w:tc>
          <w:tcPr/>
          <w:p>
            <w:pPr>
              <w:pStyle w:val="Compact"/>
              <w:jc w:val="left"/>
            </w:pPr>
            <w:r>
              <w:t xml:space="preserve">07</w:t>
            </w:r>
          </w:p>
        </w:tc>
        <w:tc>
          <w:tcPr/>
          <w:p>
            <w:pPr>
              <w:pStyle w:val="Compact"/>
              <w:jc w:val="left"/>
            </w:pPr>
            <w:r>
              <w:t xml:space="preserve">Software licensing and computational resources (Eclipse, CMG, Python environment)</w:t>
            </w:r>
          </w:p>
        </w:tc>
        <w:tc>
          <w:tcPr/>
          <w:p>
            <w:pPr>
              <w:pStyle w:val="Compact"/>
              <w:jc w:val="left"/>
            </w:pPr>
            <w:r>
              <w:t xml:space="preserve">Project duration</w:t>
            </w:r>
          </w:p>
        </w:tc>
        <w:tc>
          <w:tcPr/>
          <w:p>
            <w:pPr>
              <w:pStyle w:val="Compact"/>
              <w:jc w:val="left"/>
            </w:pPr>
            <w:r>
              <w:t xml:space="preserve">Flat fee</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Professional liability insurance and AIP registration fees</w:t>
            </w:r>
          </w:p>
        </w:tc>
        <w:tc>
          <w:tcPr/>
          <w:p>
            <w:pPr>
              <w:pStyle w:val="Compact"/>
              <w:jc w:val="left"/>
            </w:pPr>
            <w:r>
              <w:t xml:space="preserve">Project duration</w:t>
            </w:r>
          </w:p>
        </w:tc>
        <w:tc>
          <w:tcPr/>
          <w:p>
            <w:pPr>
              <w:pStyle w:val="Compact"/>
              <w:jc w:val="left"/>
            </w:pPr>
            <w:r>
              <w:t xml:space="preserve">Flat fee</w:t>
            </w:r>
          </w:p>
        </w:tc>
        <w:tc>
          <w:tcPr/>
          <w:p>
            <w:pPr>
              <w:pStyle w:val="Compact"/>
              <w:jc w:val="left"/>
            </w:pPr>
            <w:r>
              <w:t xml:space="preserve">1,500.00</w:t>
            </w:r>
          </w:p>
        </w:tc>
      </w:tr>
      <w:tr>
        <w:tc>
          <w:tcPr>
            <w:gridSpan w:val="4"/>
          </w:tcPr>
          <w:p>
            <w:pPr>
              <w:pStyle w:val="Compact"/>
              <w:jc w:val="right"/>
            </w:pPr>
            <w:r>
              <w:t xml:space="preserve">Subtotal (excl. VAT)</w:t>
            </w:r>
          </w:p>
        </w:tc>
        <w:tc>
          <w:tcPr/>
          <w:p>
            <w:pPr>
              <w:pStyle w:val="Compact"/>
              <w:jc w:val="left"/>
            </w:pPr>
            <w:r>
              <w:t xml:space="preserve">159,750.00</w:t>
            </w:r>
          </w:p>
        </w:tc>
      </w:tr>
      <w:tr>
        <w:tc>
          <w:tcPr>
            <w:gridSpan w:val="4"/>
          </w:tcPr>
          <w:p>
            <w:pPr>
              <w:pStyle w:val="Compact"/>
              <w:jc w:val="right"/>
            </w:pPr>
            <w:r>
              <w:t xml:space="preserve">VAT (22% – Italian standard rate)</w:t>
            </w:r>
          </w:p>
        </w:tc>
        <w:tc>
          <w:tcPr/>
          <w:p>
            <w:pPr>
              <w:pStyle w:val="Compact"/>
              <w:jc w:val="left"/>
            </w:pPr>
            <w:r>
              <w:t xml:space="preserve">35,145.00</w:t>
            </w:r>
          </w:p>
        </w:tc>
      </w:tr>
      <w:tr>
        <w:tc>
          <w:tcPr>
            <w:gridSpan w:val="4"/>
          </w:tcPr>
          <w:p>
            <w:pPr>
              <w:pStyle w:val="Compact"/>
              <w:jc w:val="right"/>
            </w:pPr>
            <w:r>
              <w:t xml:space="preserve">TOTAL AMOUNT DUE (EUR)</w:t>
            </w:r>
          </w:p>
        </w:tc>
        <w:tc>
          <w:tcPr/>
          <w:p>
            <w:pPr>
              <w:pStyle w:val="Compact"/>
              <w:jc w:val="left"/>
            </w:pPr>
            <w:r>
              <w:t xml:space="preserve">194,895.00</w:t>
            </w:r>
          </w:p>
        </w:tc>
      </w:tr>
    </w:tbl>
    <w:bookmarkEnd w:id="24"/>
    <w:bookmarkStart w:id="25" w:name="payment-terms"/>
    <w:p>
      <w:pPr>
        <w:pStyle w:val="Heading2"/>
      </w:pPr>
      <w:r>
        <w:t xml:space="preserve">5. Payment Terms</w:t>
      </w:r>
    </w:p>
    <w:p>
      <w:pPr>
        <w:pStyle w:val="FirstParagraph"/>
      </w:pPr>
      <w:r>
        <w:t xml:space="preserve">Payment for this Quotation Estimate shall be made in three (3) installments: thirty percent (30%) upon contract signature, forty percent (40%) upon delivery of the reservoir model and well performance reports, and the remaining thirty percent (30%) upon final acceptance of all deliverables. All payments shall be made via bank transfer to the account of Adriatic Energy Consulting S.r.l., IBAN: IT60 X054 2811 1010 0000 0123 456, BIC: BLOPIT22. Invoices are payable within thirty (30) calendar days of the date of issue, in accordance with Italian commercial law (Codice Civile, Art. 1181).</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a period of ninety (90) days from the date of issue. Beyond this period, rates and availability of the Petroleum Engineer may be subject to revision.</w:t>
      </w:r>
    </w:p>
    <w:p>
      <w:pPr>
        <w:numPr>
          <w:ilvl w:val="0"/>
          <w:numId w:val="1002"/>
        </w:numPr>
        <w:pStyle w:val="Compact"/>
      </w:pPr>
      <w:r>
        <w:t xml:space="preserve">All intellectual property generated during the course of this engagement, including reservoir models, simulation results, and technical reports, shall become the exclusive property of the client upon full payment.</w:t>
      </w:r>
    </w:p>
    <w:p>
      <w:pPr>
        <w:numPr>
          <w:ilvl w:val="0"/>
          <w:numId w:val="1002"/>
        </w:numPr>
        <w:pStyle w:val="Compact"/>
      </w:pPr>
      <w:r>
        <w:t xml:space="preserve">The Petroleum Engineer shall maintain strict confidentiality of all subsurface data, well logs, and proprietary information provided by the client, in compliance with the Italian Data Protection Regulation (D.Lgs. 196/2003 as amended by D.Lgs. 101/2018) and the EU General Data Protection Regulation (GDPR).</w:t>
      </w:r>
    </w:p>
    <w:p>
      <w:pPr>
        <w:numPr>
          <w:ilvl w:val="0"/>
          <w:numId w:val="1002"/>
        </w:numPr>
        <w:pStyle w:val="Compact"/>
      </w:pPr>
      <w:r>
        <w:t xml:space="preserve">Any change in scope exceeding ten percent (10%) of the original Quotation Estimate value shall require a written amendment signed by both parties prior to execution.</w:t>
      </w:r>
    </w:p>
    <w:p>
      <w:pPr>
        <w:numPr>
          <w:ilvl w:val="0"/>
          <w:numId w:val="1002"/>
        </w:numPr>
        <w:pStyle w:val="Compact"/>
      </w:pPr>
      <w:r>
        <w:t xml:space="preserve">Disputes arising from this agreement shall be resolved by arbitration in Italy Rome, in accordance with the rules of the Chamber of Commerce of Rome.</w:t>
      </w:r>
    </w:p>
    <w:p>
      <w:pPr>
        <w:numPr>
          <w:ilvl w:val="0"/>
          <w:numId w:val="1002"/>
        </w:numPr>
        <w:pStyle w:val="Compact"/>
      </w:pPr>
      <w:r>
        <w:t xml:space="preserve">The Petroleum Engineer reserves the right to decline any task that conflicts with professional ethical standards as defined by the AIP Code of Conduct.</w:t>
      </w:r>
    </w:p>
    <w:bookmarkEnd w:id="26"/>
    <w:p>
      <w:pPr>
        <w:pStyle w:val="FirstParagraph"/>
      </w:pPr>
      <w:r>
        <w:rPr>
          <w:bCs/>
          <w:b/>
        </w:rPr>
        <w:t xml:space="preserve">Note:</w:t>
      </w:r>
      <w:r>
        <w:t xml:space="preserve"> </w:t>
      </w:r>
      <w:r>
        <w:t xml:space="preserve">This Quotation Estimate does not include costs associated with third-party laboratory core analysis, seismic data acquisition, or environmental impact assessments, which shall be quoted separately upon request. All rates are exclusive of any applicable Italian regional surcharges or offshore operational levies imposed by the relevant authority in Italy Rome.</w:t>
      </w:r>
    </w:p>
    <w:bookmarkStart w:id="27" w:name="acceptance"/>
    <w:p>
      <w:pPr>
        <w:pStyle w:val="Heading2"/>
      </w:pPr>
      <w:r>
        <w:t xml:space="preserve">7. Acceptance</w:t>
      </w:r>
    </w:p>
    <w:p>
      <w:pPr>
        <w:pStyle w:val="FirstParagraph"/>
      </w:pPr>
      <w:r>
        <w:t xml:space="preserve">By signing below, the client acknowledges receipt of this Quotation Estimate and agrees to the terms, conditions, and financial provisions outlined herein. The engagement of the Petroleum Engineer for operations in Italy Rome shall commence upon written confirmation and receipt of the initial payment installment.</w:t>
      </w:r>
    </w:p>
    <w:bookmarkEnd w:id="27"/>
    <w:p>
      <w:pPr>
        <w:pStyle w:val="BodyText"/>
      </w:pPr>
      <w:r>
        <w:rPr>
          <w:bCs/>
          <w:b/>
        </w:rPr>
        <w:t xml:space="preserve">For and on behalf of Adriatic Energy Consulting S.r.l.:</w:t>
      </w:r>
    </w:p>
    <w:p>
      <w:pPr>
        <w:pStyle w:val="BodyText"/>
      </w:pPr>
      <w:r>
        <w:t xml:space="preserve">Engr. Marco De Santis, P.Eng.</w:t>
      </w:r>
      <w:r>
        <w:br/>
      </w:r>
      <w:r>
        <w:t xml:space="preserve">Senior Petroleum Engineer</w:t>
      </w:r>
      <w:r>
        <w:br/>
      </w:r>
      <w:r>
        <w:t xml:space="preserve">Date: _______________</w:t>
      </w:r>
    </w:p>
    <w:p>
      <w:pPr>
        <w:pStyle w:val="BodyText"/>
      </w:pPr>
      <w:r>
        <w:rPr>
          <w:bCs/>
          <w:b/>
        </w:rPr>
        <w:t xml:space="preserve">For and on behalf of Tirreno Subsurface Resources S.p.A.:</w:t>
      </w:r>
    </w:p>
    <w:p>
      <w:pPr>
        <w:pStyle w:val="BodyText"/>
      </w:pPr>
      <w:r>
        <w:t xml:space="preserve">Dr. Elena Marchetti</w:t>
      </w:r>
      <w:r>
        <w:br/>
      </w:r>
      <w:r>
        <w:t xml:space="preserve">Chief Geoscientist</w:t>
      </w:r>
      <w:r>
        <w:br/>
      </w:r>
      <w:r>
        <w:t xml:space="preserve">Date: _______________</w:t>
      </w:r>
    </w:p>
    <w:p>
      <w:pPr>
        <w:pStyle w:val="BodyText"/>
      </w:pPr>
      <w:r>
        <w:t xml:space="preserve">Adriatic Energy Consulting S.r.l. | Via del Corso 142, 00186 Rome, Italy | P.IVA: IT09876543210 | REA: RM-1234567</w:t>
      </w:r>
      <w:r>
        <w:br/>
      </w:r>
      <w:r>
        <w:t xml:space="preserve">Tel: +39 06 4567 8900 | Email: quotations@adriaticenergyconsulting.it</w:t>
      </w:r>
      <w:r>
        <w:br/>
      </w:r>
      <w:r>
        <w:t xml:space="preserve">This Quotation Estimate is a confidential commercial document intended solely for the named recipient. Unauthorized reproduction or distribution is prohibited under Italian intellectual property law (Legge 633/1941).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Italy Rome</dc:title>
  <dc:creator/>
  <dc:language>en</dc:language>
  <cp:keywords/>
  <dcterms:created xsi:type="dcterms:W3CDTF">2026-10-10T02:17:38Z</dcterms:created>
  <dcterms:modified xsi:type="dcterms:W3CDTF">2026-10-10T02:17:38Z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