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Caspien Energy Solutions LLP</w:t>
      </w:r>
    </w:p>
    <w:p>
      <w:pPr>
        <w:pStyle w:val="BodyText"/>
      </w:pPr>
      <w:r>
        <w:t xml:space="preserve">145 Abai Avenue, Office 712, Almaty, Kazakhstan 050040</w:t>
      </w:r>
    </w:p>
    <w:p>
      <w:pPr>
        <w:pStyle w:val="BodyText"/>
      </w:pPr>
      <w:r>
        <w:t xml:space="preserve">Tel: +7 (727) 312-4567 | Email: quotes@caspienenergy.kz</w:t>
      </w:r>
    </w:p>
    <w:p>
      <w:pPr>
        <w:pStyle w:val="BodyText"/>
      </w:pPr>
      <w:r>
        <w:t xml:space="preserve">Registration No. 123456789 | BIN: 990100012345</w:t>
      </w:r>
    </w:p>
    <w:bookmarkEnd w:id="20"/>
    <w:p>
      <w:pPr>
        <w:pStyle w:val="BodyText"/>
      </w:pPr>
      <w:r>
        <w:rPr>
          <w:bCs/>
          <w:b/>
        </w:rPr>
        <w:t xml:space="preserve">Quotation No.:</w:t>
      </w:r>
      <w:r>
        <w:t xml:space="preserve"> </w:t>
      </w:r>
      <w:r>
        <w:t xml:space="preserve">QTE-2025-KE-0847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Kazakhstan Almaty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Tengri Exploration &amp; Development JSC</w:t>
            </w:r>
          </w:p>
        </w:tc>
      </w:tr>
      <w:tr>
        <w:tc>
          <w:tcPr/>
          <w:p>
            <w:pPr>
              <w:pStyle w:val="Compact"/>
              <w:jc w:val="left"/>
            </w:pPr>
            <w:r>
              <w:rPr>
                <w:bCs/>
                <w:b/>
              </w:rPr>
              <w:t xml:space="preserve">Address:</w:t>
            </w:r>
          </w:p>
        </w:tc>
        <w:tc>
          <w:tcPr/>
          <w:p>
            <w:pPr>
              <w:pStyle w:val="Compact"/>
              <w:jc w:val="left"/>
            </w:pPr>
            <w:r>
              <w:t xml:space="preserve">88 Dostyk Avenue, Almaty, Kazakhstan 050000</w:t>
            </w:r>
          </w:p>
        </w:tc>
      </w:tr>
      <w:tr>
        <w:tc>
          <w:tcPr/>
          <w:p>
            <w:pPr>
              <w:pStyle w:val="Compact"/>
              <w:jc w:val="left"/>
            </w:pPr>
            <w:r>
              <w:rPr>
                <w:bCs/>
                <w:b/>
              </w:rPr>
              <w:t xml:space="preserve">Contact Person:</w:t>
            </w:r>
          </w:p>
        </w:tc>
        <w:tc>
          <w:tcPr/>
          <w:p>
            <w:pPr>
              <w:pStyle w:val="Compact"/>
              <w:jc w:val="left"/>
            </w:pPr>
            <w:r>
              <w:t xml:space="preserve">Mr. Alikhan Serikzhanov, Head of Operations</w:t>
            </w:r>
          </w:p>
        </w:tc>
      </w:tr>
      <w:tr>
        <w:tc>
          <w:tcPr/>
          <w:p>
            <w:pPr>
              <w:pStyle w:val="Compact"/>
              <w:jc w:val="left"/>
            </w:pPr>
            <w:r>
              <w:rPr>
                <w:bCs/>
                <w:b/>
              </w:rPr>
              <w:t xml:space="preserve">Email:</w:t>
            </w:r>
          </w:p>
        </w:tc>
        <w:tc>
          <w:tcPr/>
          <w:p>
            <w:pPr>
              <w:pStyle w:val="Compact"/>
              <w:jc w:val="left"/>
            </w:pPr>
            <w:r>
              <w:t xml:space="preserve">a.serikzhanov@tengriexploration.kz</w:t>
            </w:r>
          </w:p>
        </w:tc>
      </w:tr>
      <w:tr>
        <w:tc>
          <w:tcPr/>
          <w:p>
            <w:pPr>
              <w:pStyle w:val="Compact"/>
              <w:jc w:val="left"/>
            </w:pPr>
            <w:r>
              <w:rPr>
                <w:bCs/>
                <w:b/>
              </w:rPr>
              <w:t xml:space="preserve">Phone:</w:t>
            </w:r>
          </w:p>
        </w:tc>
        <w:tc>
          <w:tcPr/>
          <w:p>
            <w:pPr>
              <w:pStyle w:val="Compact"/>
              <w:jc w:val="left"/>
            </w:pPr>
            <w:r>
              <w:t xml:space="preserve">+7 (727) 298-7654</w:t>
            </w:r>
          </w:p>
        </w:tc>
      </w:tr>
    </w:tbl>
    <w:bookmarkEnd w:id="21"/>
    <w:bookmarkStart w:id="22" w:name="Xd89401ae56babae93a7e01948942b73052033ca"/>
    <w:p>
      <w:pPr>
        <w:pStyle w:val="Heading2"/>
      </w:pPr>
      <w:r>
        <w:t xml:space="preserve">2. Scope of Work – Petroleum Engineer Services in Kazakhstan Almaty</w:t>
      </w:r>
    </w:p>
    <w:p>
      <w:pPr>
        <w:pStyle w:val="FirstParagraph"/>
      </w:pPr>
      <w:r>
        <w:t xml:space="preserve">This</w:t>
      </w:r>
      <w:r>
        <w:t xml:space="preserve"> </w:t>
      </w:r>
      <w:r>
        <w:t xml:space="preserve">Quotation Estimate</w:t>
      </w:r>
      <w:r>
        <w:t xml:space="preserve"> </w:t>
      </w:r>
      <w:r>
        <w:t xml:space="preserve">is prepared in response to the formal request from Tengri Exploration &amp; Development JSC for the engagement of a senior</w:t>
      </w:r>
      <w:r>
        <w:t xml:space="preserve"> </w:t>
      </w:r>
      <w:r>
        <w:t xml:space="preserve">Petroleum Engineer</w:t>
      </w:r>
      <w:r>
        <w:t xml:space="preserve"> </w:t>
      </w:r>
      <w:r>
        <w:t xml:space="preserve">to provide comprehensive technical consulting and operational oversight for onshore hydrocarbon exploration and production activities based in</w:t>
      </w:r>
      <w:r>
        <w:t xml:space="preserve"> </w:t>
      </w:r>
      <w:r>
        <w:t xml:space="preserve">Kazakhstan Almaty</w:t>
      </w:r>
      <w:r>
        <w:t xml:space="preserve">. The</w:t>
      </w:r>
      <w:r>
        <w:t xml:space="preserve"> </w:t>
      </w:r>
      <w:r>
        <w:t xml:space="preserve">Petroleum Engineer</w:t>
      </w:r>
      <w:r>
        <w:t xml:space="preserve"> </w:t>
      </w:r>
      <w:r>
        <w:t xml:space="preserve">will be responsible for reservoir characterization, well performance analysis, production optimization, and compliance with the regulatory framework established by the Ministry of Energy of the Republic of Kazakhstan.</w:t>
      </w:r>
    </w:p>
    <w:p>
      <w:pPr>
        <w:pStyle w:val="BodyText"/>
      </w:pPr>
      <w:r>
        <w:t xml:space="preserve">The scope of services outlined in this</w:t>
      </w:r>
      <w:r>
        <w:t xml:space="preserve"> </w:t>
      </w:r>
      <w:r>
        <w:t xml:space="preserve">Quotation Estimate</w:t>
      </w:r>
      <w:r>
        <w:t xml:space="preserve"> </w:t>
      </w:r>
      <w:r>
        <w:t xml:space="preserve">covers a twelve-month engagement period commencing on 1 August 2025. The</w:t>
      </w:r>
      <w:r>
        <w:t xml:space="preserve"> </w:t>
      </w:r>
      <w:r>
        <w:t xml:space="preserve">Petroleum Engineer</w:t>
      </w:r>
      <w:r>
        <w:t xml:space="preserve"> </w:t>
      </w:r>
      <w:r>
        <w:t xml:space="preserve">will operate primarily from the client's headquarters in</w:t>
      </w:r>
      <w:r>
        <w:t xml:space="preserve"> </w:t>
      </w:r>
      <w:r>
        <w:t xml:space="preserve">Kazakhstan Almaty</w:t>
      </w:r>
      <w:r>
        <w:t xml:space="preserve">, with periodic site visits to exploration blocks in the Karaganda and Mangystau regions as required by the project schedule. All deliverables will be prepared in accordance with international petroleum engineering standards (SPE, API) and local Kazakhstani regulatory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Monthly Retainer (Reservoir Analysis, Well Optimization, Production Forecasting)</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Site Inspection &amp; Field Assessment Visits (Karaganda / Mangystau Blocks)</w:t>
            </w:r>
          </w:p>
        </w:tc>
        <w:tc>
          <w:tcPr/>
          <w:p>
            <w:pPr>
              <w:pStyle w:val="Compact"/>
              <w:jc w:val="left"/>
            </w:pPr>
            <w:r>
              <w:t xml:space="preserve">6 visits</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03</w:t>
            </w:r>
          </w:p>
        </w:tc>
        <w:tc>
          <w:tcPr/>
          <w:p>
            <w:pPr>
              <w:pStyle w:val="Compact"/>
              <w:jc w:val="left"/>
            </w:pPr>
            <w:r>
              <w:t xml:space="preserve">Reservoir Simulation &amp; Numerical Modeling (Black-Oil / Compositional)</w:t>
            </w:r>
          </w:p>
        </w:tc>
        <w:tc>
          <w:tcPr/>
          <w:p>
            <w:pPr>
              <w:pStyle w:val="Compact"/>
              <w:jc w:val="left"/>
            </w:pPr>
            <w:r>
              <w:t xml:space="preserve">2 cycles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Regulatory Compliance Reporting &amp; Ministry of Energy Liaison (Kazakhstan Almaty)</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Technical Training &amp; Knowledge Transfer Sessions for Local Staff</w:t>
            </w:r>
          </w:p>
        </w:tc>
        <w:tc>
          <w:tcPr/>
          <w:p>
            <w:pPr>
              <w:pStyle w:val="Compact"/>
              <w:jc w:val="left"/>
            </w:pPr>
            <w:r>
              <w:t xml:space="preserve">4 sessions</w:t>
            </w:r>
          </w:p>
        </w:tc>
        <w:tc>
          <w:tcPr/>
          <w:p>
            <w:pPr>
              <w:pStyle w:val="Compact"/>
              <w:jc w:val="left"/>
            </w:pPr>
            <w:r>
              <w:t xml:space="preserve">$2,800</w:t>
            </w:r>
          </w:p>
        </w:tc>
        <w:tc>
          <w:tcPr/>
          <w:p>
            <w:pPr>
              <w:pStyle w:val="Compact"/>
              <w:jc w:val="left"/>
            </w:pPr>
            <w:r>
              <w:t xml:space="preserve">$11,200</w:t>
            </w:r>
          </w:p>
        </w:tc>
      </w:tr>
      <w:tr>
        <w:tc>
          <w:tcPr/>
          <w:p>
            <w:pPr>
              <w:pStyle w:val="Compact"/>
              <w:jc w:val="left"/>
            </w:pPr>
            <w:r>
              <w:t xml:space="preserve">06</w:t>
            </w:r>
          </w:p>
        </w:tc>
        <w:tc>
          <w:tcPr/>
          <w:p>
            <w:pPr>
              <w:pStyle w:val="Compact"/>
              <w:jc w:val="left"/>
            </w:pPr>
            <w:r>
              <w:t xml:space="preserve">Travel, Accommodation &amp; Per Diem (Almaty-based, regional travel)</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07</w:t>
            </w:r>
          </w:p>
        </w:tc>
        <w:tc>
          <w:tcPr/>
          <w:p>
            <w:pPr>
              <w:pStyle w:val="Compact"/>
              <w:jc w:val="left"/>
            </w:pPr>
            <w:r>
              <w:t xml:space="preserve">Software Licensing &amp; Technical Data Access (Petrel, Eclipse, CMG)</w:t>
            </w:r>
          </w:p>
        </w:tc>
        <w:tc>
          <w:tcPr/>
          <w:p>
            <w:pPr>
              <w:pStyle w:val="Compact"/>
              <w:jc w:val="left"/>
            </w:pPr>
            <w:r>
              <w:t xml:space="preserve">12 months</w:t>
            </w:r>
          </w:p>
        </w:tc>
        <w:tc>
          <w:tcPr/>
          <w:p>
            <w:pPr>
              <w:pStyle w:val="Compact"/>
              <w:jc w:val="left"/>
            </w:pPr>
            <w:r>
              <w:t xml:space="preserve">$5,500</w:t>
            </w:r>
          </w:p>
        </w:tc>
        <w:tc>
          <w:tcPr/>
          <w:p>
            <w:pPr>
              <w:pStyle w:val="Compact"/>
              <w:jc w:val="left"/>
            </w:pPr>
            <w:r>
              <w:t xml:space="preserve">$5,500</w:t>
            </w:r>
          </w:p>
        </w:tc>
      </w:tr>
      <w:tr>
        <w:tc>
          <w:tcPr>
            <w:gridSpan w:val="4"/>
          </w:tcPr>
          <w:p>
            <w:pPr>
              <w:pStyle w:val="Compact"/>
              <w:jc w:val="left"/>
            </w:pPr>
            <w:r>
              <w:t xml:space="preserve">Subtotal</w:t>
            </w:r>
          </w:p>
        </w:tc>
        <w:tc>
          <w:tcPr/>
          <w:p>
            <w:pPr>
              <w:pStyle w:val="Compact"/>
              <w:jc w:val="left"/>
            </w:pPr>
            <w:r>
              <w:t xml:space="preserve">$357,500</w:t>
            </w:r>
          </w:p>
        </w:tc>
      </w:tr>
      <w:tr>
        <w:tc>
          <w:tcPr>
            <w:gridSpan w:val="4"/>
          </w:tcPr>
          <w:p>
            <w:pPr>
              <w:pStyle w:val="Compact"/>
              <w:jc w:val="left"/>
            </w:pPr>
            <w:r>
              <w:t xml:space="preserve">VAT (12% – Kazakhstan)</w:t>
            </w:r>
          </w:p>
        </w:tc>
        <w:tc>
          <w:tcPr/>
          <w:p>
            <w:pPr>
              <w:pStyle w:val="Compact"/>
              <w:jc w:val="left"/>
            </w:pPr>
            <w:r>
              <w:t xml:space="preserve">$42,900</w:t>
            </w:r>
          </w:p>
        </w:tc>
      </w:tr>
      <w:tr>
        <w:tc>
          <w:tcPr>
            <w:gridSpan w:val="4"/>
          </w:tcPr>
          <w:p>
            <w:pPr>
              <w:pStyle w:val="Compact"/>
              <w:jc w:val="left"/>
            </w:pPr>
            <w:r>
              <w:rPr>
                <w:bCs/>
                <w:b/>
              </w:rPr>
              <w:t xml:space="preserve">TOTAL ESTIMATED COST (USD)</w:t>
            </w:r>
          </w:p>
        </w:tc>
        <w:tc>
          <w:tcPr/>
          <w:p>
            <w:pPr>
              <w:pStyle w:val="Compact"/>
              <w:jc w:val="left"/>
            </w:pPr>
            <w:r>
              <w:rPr>
                <w:bCs/>
                <w:b/>
              </w:rPr>
              <w:t xml:space="preserve">$400,400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$80,080</w:t>
            </w:r>
          </w:p>
        </w:tc>
        <w:tc>
          <w:tcPr/>
          <w:p>
            <w:pPr>
              <w:pStyle w:val="Compact"/>
              <w:jc w:val="left"/>
            </w:pPr>
            <w:r>
              <w:t xml:space="preserve">Upon execution</w:t>
            </w:r>
          </w:p>
        </w:tc>
      </w:tr>
      <w:tr>
        <w:tc>
          <w:tcPr/>
          <w:p>
            <w:pPr>
              <w:pStyle w:val="Compact"/>
              <w:jc w:val="left"/>
            </w:pPr>
            <w:r>
              <w:t xml:space="preserve">Quarterly Progress Payments (Q1–Q4)</w:t>
            </w:r>
          </w:p>
        </w:tc>
        <w:tc>
          <w:tcPr/>
          <w:p>
            <w:pPr>
              <w:pStyle w:val="Compact"/>
              <w:jc w:val="left"/>
            </w:pPr>
            <w:r>
              <w:t xml:space="preserve">60% (15% each)</w:t>
            </w:r>
          </w:p>
        </w:tc>
        <w:tc>
          <w:tcPr/>
          <w:p>
            <w:pPr>
              <w:pStyle w:val="Compact"/>
              <w:jc w:val="left"/>
            </w:pPr>
            <w:r>
              <w:t xml:space="preserve">$240,240</w:t>
            </w:r>
          </w:p>
        </w:tc>
        <w:tc>
          <w:tcPr/>
          <w:p>
            <w:pPr>
              <w:pStyle w:val="Compact"/>
              <w:jc w:val="left"/>
            </w:pPr>
            <w:r>
              <w:t xml:space="preserve">End of each quarter</w:t>
            </w:r>
          </w:p>
        </w:tc>
      </w:tr>
      <w:tr>
        <w:tc>
          <w:tcPr/>
          <w:p>
            <w:pPr>
              <w:pStyle w:val="Compact"/>
              <w:jc w:val="left"/>
            </w:pPr>
            <w:r>
              <w:t xml:space="preserve">Final Deliverable &amp; Demobilization</w:t>
            </w:r>
          </w:p>
        </w:tc>
        <w:tc>
          <w:tcPr/>
          <w:p>
            <w:pPr>
              <w:pStyle w:val="Compact"/>
              <w:jc w:val="left"/>
            </w:pPr>
            <w:r>
              <w:t xml:space="preserve">20%</w:t>
            </w:r>
          </w:p>
        </w:tc>
        <w:tc>
          <w:tcPr/>
          <w:p>
            <w:pPr>
              <w:pStyle w:val="Compact"/>
              <w:jc w:val="left"/>
            </w:pPr>
            <w:r>
              <w:t xml:space="preserve">$80,080</w:t>
            </w:r>
          </w:p>
        </w:tc>
        <w:tc>
          <w:tcPr/>
          <w:p>
            <w:pPr>
              <w:pStyle w:val="Compact"/>
              <w:jc w:val="left"/>
            </w:pPr>
            <w:r>
              <w:t xml:space="preserve">Within 30 days of project close</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w:t>
      </w:r>
    </w:p>
    <w:p>
      <w:pPr>
        <w:numPr>
          <w:ilvl w:val="0"/>
          <w:numId w:val="1001"/>
        </w:numPr>
        <w:pStyle w:val="Compact"/>
      </w:pPr>
      <w:r>
        <w:t xml:space="preserve">All payments shall be made in US Dollars (USD) via wire transfer to the designated account of Caspien Energy Solutions LLP, Almaty, Kazakhstan. Bank charges on the client's side are the responsibility of the client.</w:t>
      </w:r>
    </w:p>
    <w:p>
      <w:pPr>
        <w:numPr>
          <w:ilvl w:val="0"/>
          <w:numId w:val="1001"/>
        </w:numPr>
        <w:pStyle w:val="Compact"/>
      </w:pPr>
      <w:r>
        <w:t xml:space="preserve">The</w:t>
      </w:r>
      <w:r>
        <w:t xml:space="preserve"> </w:t>
      </w:r>
      <w:r>
        <w:t xml:space="preserve">Petroleum Engineer</w:t>
      </w:r>
      <w:r>
        <w:t xml:space="preserve"> </w:t>
      </w:r>
      <w:r>
        <w:t xml:space="preserve">engaged under this quotation shall comply with all applicable laws of the Republic of Kazakhstan, including but not limited to the Subsoil Use Law and the Tax Code of the Republic of Kazakhstan.</w:t>
      </w:r>
    </w:p>
    <w:p>
      <w:pPr>
        <w:numPr>
          <w:ilvl w:val="0"/>
          <w:numId w:val="1001"/>
        </w:numPr>
        <w:pStyle w:val="Compact"/>
      </w:pPr>
      <w:r>
        <w:t xml:space="preserve">Any change in scope exceeding 10% of the original work description will require a formal Change Order and a revised</w:t>
      </w:r>
      <w:r>
        <w:t xml:space="preserve"> </w:t>
      </w:r>
      <w:r>
        <w:t xml:space="preserve">Quotation Estimate</w:t>
      </w:r>
      <w:r>
        <w:t xml:space="preserve"> </w:t>
      </w:r>
      <w:r>
        <w:t xml:space="preserve">prior to execution of additional work.</w:t>
      </w:r>
    </w:p>
    <w:p>
      <w:pPr>
        <w:numPr>
          <w:ilvl w:val="0"/>
          <w:numId w:val="1001"/>
        </w:numPr>
        <w:pStyle w:val="Compact"/>
      </w:pPr>
      <w:r>
        <w:t xml:space="preserve">Confidentiality: All reservoir data, well logs, and production figures shared in</w:t>
      </w:r>
      <w:r>
        <w:t xml:space="preserve"> </w:t>
      </w:r>
      <w:r>
        <w:t xml:space="preserve">Kazakhstan Almaty</w:t>
      </w:r>
      <w:r>
        <w:t xml:space="preserve"> </w:t>
      </w:r>
      <w:r>
        <w:t xml:space="preserve">or at field sites shall be treated as strictly confidential and subject to a Non-Disclosure Agreement (NDA) executed concurrently with the main contract.</w:t>
      </w:r>
    </w:p>
    <w:p>
      <w:pPr>
        <w:numPr>
          <w:ilvl w:val="0"/>
          <w:numId w:val="1001"/>
        </w:numPr>
        <w:pStyle w:val="Compact"/>
      </w:pPr>
      <w:r>
        <w:t xml:space="preserve">Force Majeure: Neither party shall be liable for delays caused by events beyond reasonable control, including but not limited to natural disasters, government sanctions, or civil unrest within Kazakhstan.</w:t>
      </w:r>
    </w:p>
    <w:p>
      <w:pPr>
        <w:numPr>
          <w:ilvl w:val="0"/>
          <w:numId w:val="1001"/>
        </w:numPr>
        <w:pStyle w:val="Compact"/>
      </w:pPr>
      <w:r>
        <w:t xml:space="preserve">Dispute Resolution: Any disputes arising from this engagement shall be resolved through arbitration under the rules of the International Chamber of Commerce (ICC), with the seat of arbitration in Almaty, Kazakhstan.</w:t>
      </w:r>
    </w:p>
    <w:p>
      <w:pPr>
        <w:numPr>
          <w:ilvl w:val="0"/>
          <w:numId w:val="1001"/>
        </w:numPr>
        <w:pStyle w:val="Compact"/>
      </w:pPr>
      <w:r>
        <w:t xml:space="preserve">The</w:t>
      </w:r>
      <w:r>
        <w:t xml:space="preserve"> </w:t>
      </w:r>
      <w:r>
        <w:t xml:space="preserve">Petroleum Engineer</w:t>
      </w:r>
      <w:r>
        <w:t xml:space="preserve"> </w:t>
      </w:r>
      <w:r>
        <w:t xml:space="preserve">shall provide a comprehensive handover report and all project documentation in both English and Russian upon completion of the engagement.</w:t>
      </w:r>
    </w:p>
    <w:bookmarkEnd w:id="25"/>
    <w:bookmarkStart w:id="28" w:name="acceptance-and-authorization"/>
    <w:p>
      <w:pPr>
        <w:pStyle w:val="Heading2"/>
      </w:pPr>
      <w:r>
        <w:t xml:space="preserve">6. Acceptance and Authorization</w:t>
      </w:r>
    </w:p>
    <w:bookmarkStart w:id="26" w:name="prepared-by-supplier"/>
    <w:p>
      <w:pPr>
        <w:pStyle w:val="Heading3"/>
      </w:pPr>
      <w:r>
        <w:t xml:space="preserve">Prepared By (Supplier)</w:t>
      </w:r>
    </w:p>
    <w:p>
      <w:pPr>
        <w:pStyle w:val="FirstParagraph"/>
      </w:pPr>
      <w:r>
        <w:t xml:space="preserve">Caspien Energy Solutions LLP</w:t>
      </w:r>
    </w:p>
    <w:p>
      <w:pPr>
        <w:pStyle w:val="BodyText"/>
      </w:pPr>
      <w:r>
        <w:t xml:space="preserve">Name: Dr. Elena Volkova</w:t>
      </w:r>
    </w:p>
    <w:p>
      <w:pPr>
        <w:pStyle w:val="BodyText"/>
      </w:pPr>
      <w:r>
        <w:t xml:space="preserve">Title: Chief Technical Officer</w:t>
      </w:r>
    </w:p>
    <w:p>
      <w:pPr>
        <w:pStyle w:val="BodyText"/>
      </w:pPr>
      <w:r>
        <w:t xml:space="preserve">Signature &amp; Date</w:t>
      </w:r>
    </w:p>
    <w:bookmarkEnd w:id="26"/>
    <w:bookmarkStart w:id="27" w:name="accepted-by-client"/>
    <w:p>
      <w:pPr>
        <w:pStyle w:val="Heading3"/>
      </w:pPr>
      <w:r>
        <w:t xml:space="preserve">Accepted By (Client)</w:t>
      </w:r>
    </w:p>
    <w:p>
      <w:pPr>
        <w:pStyle w:val="FirstParagraph"/>
      </w:pPr>
      <w:r>
        <w:t xml:space="preserve">Tengri Exploration &amp; Development JSC</w:t>
      </w:r>
    </w:p>
    <w:p>
      <w:pPr>
        <w:pStyle w:val="BodyText"/>
      </w:pPr>
      <w:r>
        <w:t xml:space="preserve">Name: Mr. Alikhan Serikzhanov</w:t>
      </w:r>
    </w:p>
    <w:p>
      <w:pPr>
        <w:pStyle w:val="BodyText"/>
      </w:pPr>
      <w:r>
        <w:t xml:space="preserve">Title: Head of Operations</w:t>
      </w:r>
    </w:p>
    <w:p>
      <w:pPr>
        <w:pStyle w:val="BodyText"/>
      </w:pPr>
      <w:r>
        <w:t xml:space="preserve">Signature &amp; Date</w:t>
      </w:r>
    </w:p>
    <w:bookmarkEnd w:id="27"/>
    <w:p>
      <w:pPr>
        <w:pStyle w:val="BodyText"/>
      </w:pPr>
      <w:r>
        <w:t xml:space="preserve">This Quotation Estimate (Ref: QTE-2025-KE-0847) is issued for Petroleum Engineer services in Kazakhstan Almaty.</w:t>
      </w:r>
    </w:p>
    <w:p>
      <w:pPr>
        <w:pStyle w:val="BodyText"/>
      </w:pPr>
      <w:r>
        <w:t xml:space="preserve">© 2025 Caspien Energy Solutions LLP. All rights reserved. Document generated on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Kazakhstan Almaty</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