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Xae8991b429d6ab7150af5f0b3c2c472650198ad"/>
    <w:p>
      <w:pPr>
        <w:pStyle w:val="Heading1"/>
      </w:pPr>
      <w:r>
        <w:t xml:space="preserve">Al-Nakheel Energy &amp; Engineering Solutions W.L.L.</w:t>
      </w:r>
    </w:p>
    <w:p>
      <w:pPr>
        <w:pStyle w:val="FirstParagraph"/>
      </w:pPr>
      <w:r>
        <w:t xml:space="preserve">Office 12, Al-Salimiyah Business Tower, Kuwait City, State of Kuwait</w:t>
      </w:r>
    </w:p>
    <w:p>
      <w:pPr>
        <w:pStyle w:val="BodyText"/>
      </w:pPr>
      <w:r>
        <w:t xml:space="preserve">Tel: +965-2244-8890 | Email: quotations@alnakheel-energy.kw | CR: 118452</w:t>
      </w:r>
    </w:p>
    <w:p>
      <w:pPr>
        <w:pStyle w:val="BodyText"/>
      </w:pPr>
      <w:r>
        <w:t xml:space="preserve">Commercial Registration No. 118452 | Tax Card No. 100045678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QTE-2025-KW-0472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Kuwait, Kuwait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Kuwait Petroleum Corporation (KPC)</w:t>
      </w:r>
    </w:p>
    <w:p>
      <w:pPr>
        <w:pStyle w:val="BodyText"/>
      </w:pPr>
      <w:r>
        <w:rPr>
          <w:bCs/>
          <w:b/>
        </w:rPr>
        <w:t xml:space="preserve">Department:</w:t>
      </w:r>
      <w:r>
        <w:t xml:space="preserve"> </w:t>
      </w:r>
      <w:r>
        <w:t xml:space="preserve">Upstream Operations &amp; Reservoir Management</w:t>
      </w:r>
    </w:p>
    <w:p>
      <w:pPr>
        <w:pStyle w:val="BodyText"/>
      </w:pPr>
      <w:r>
        <w:rPr>
          <w:bCs/>
          <w:b/>
        </w:rPr>
        <w:t xml:space="preserve">Address:</w:t>
      </w:r>
      <w:r>
        <w:t xml:space="preserve"> </w:t>
      </w:r>
      <w:r>
        <w:t xml:space="preserve">KPC Headquarters, Kuwait City, State of Kuwait</w:t>
      </w:r>
    </w:p>
    <w:p>
      <w:pPr>
        <w:pStyle w:val="BodyText"/>
      </w:pPr>
      <w:r>
        <w:rPr>
          <w:bCs/>
          <w:b/>
        </w:rPr>
        <w:t xml:space="preserve">Attn:</w:t>
      </w:r>
      <w:r>
        <w:t xml:space="preserve"> </w:t>
      </w:r>
      <w:r>
        <w:t xml:space="preserve">Dr. Fahad Al-Mubarak, Senior Technical Director</w:t>
      </w:r>
    </w:p>
    <w:bookmarkEnd w:id="22"/>
    <w:p>
      <w:pPr>
        <w:pStyle w:val="BodyText"/>
      </w:pPr>
      <w:r>
        <w:t xml:space="preserve">This</w:t>
      </w:r>
      <w:r>
        <w:t xml:space="preserve"> </w:t>
      </w:r>
      <w:r>
        <w:t xml:space="preserve">Quotation Estimate</w:t>
      </w:r>
      <w:r>
        <w:t xml:space="preserve"> </w:t>
      </w:r>
      <w:r>
        <w:t xml:space="preserve">is formally submitted by Al-Nakheel Energy &amp; Engineering Solutions W.L.L. to Kuwait Petroleum Corporation for the provision of specialized</w:t>
      </w:r>
      <w:r>
        <w:t xml:space="preserve"> </w:t>
      </w:r>
      <w:r>
        <w:t xml:space="preserve">Petroleum Engineer</w:t>
      </w:r>
      <w:r>
        <w:t xml:space="preserve"> </w:t>
      </w:r>
      <w:r>
        <w:t xml:space="preserve">consulting and technical services to be executed at the client's operational facilities located in</w:t>
      </w:r>
      <w:r>
        <w:t xml:space="preserve"> </w:t>
      </w:r>
      <w:r>
        <w:t xml:space="preserve">Kuwait, Kuwait City</w:t>
      </w:r>
      <w:r>
        <w:t xml:space="preserve">. This document outlines the complete scope of work, associated costs, delivery timelines, and contractual terms governing the engagement. All pricing is quoted in Kuwaiti Dinars (KWD) and is inclusive of applicable Value Added Tax (VAT) at the prevailing rate of 5% as mandated by the State of Kuwait.</w:t>
      </w:r>
    </w:p>
    <w:p>
      <w:pPr>
        <w:pStyle w:val="BodyText"/>
      </w:pPr>
      <w:r>
        <w:t xml:space="preserve">1. Scope of Work</w:t>
      </w:r>
    </w:p>
    <w:p>
      <w:pPr>
        <w:pStyle w:val="BodyText"/>
      </w:pPr>
      <w:r>
        <w:t xml:space="preserve">The</w:t>
      </w:r>
      <w:r>
        <w:t xml:space="preserve"> </w:t>
      </w:r>
      <w:r>
        <w:t xml:space="preserve">Petroleum Engineer</w:t>
      </w:r>
      <w:r>
        <w:t xml:space="preserve"> </w:t>
      </w:r>
      <w:r>
        <w:t xml:space="preserve">engagement encompasses the following technical deliverables to be performed on-site and remotely in support of KPC's upstream operations in</w:t>
      </w:r>
      <w:r>
        <w:t xml:space="preserve"> </w:t>
      </w:r>
      <w:r>
        <w:t xml:space="preserve">Kuwait, Kuwait City</w:t>
      </w:r>
      <w:r>
        <w:t xml:space="preserve">:</w:t>
      </w:r>
    </w:p>
    <w:p>
      <w:pPr>
        <w:numPr>
          <w:ilvl w:val="0"/>
          <w:numId w:val="1001"/>
        </w:numPr>
        <w:pStyle w:val="Compact"/>
      </w:pPr>
      <w:r>
        <w:t xml:space="preserve">Comprehensive reservoir performance analysis and production optimization for the Burgan and Mina fields.</w:t>
      </w:r>
    </w:p>
    <w:p>
      <w:pPr>
        <w:numPr>
          <w:ilvl w:val="0"/>
          <w:numId w:val="1001"/>
        </w:numPr>
        <w:pStyle w:val="Compact"/>
      </w:pPr>
      <w:r>
        <w:t xml:space="preserve">Wellbore integrity assessment and completion design review for a minimum of twelve (12) producing wells.</w:t>
      </w:r>
    </w:p>
    <w:p>
      <w:pPr>
        <w:numPr>
          <w:ilvl w:val="0"/>
          <w:numId w:val="1001"/>
        </w:numPr>
        <w:pStyle w:val="Compact"/>
      </w:pPr>
      <w:r>
        <w:t xml:space="preserve">Development of enhanced oil recovery (EOR) feasibility studies incorporating thermal and chemical injection methodologies.</w:t>
      </w:r>
    </w:p>
    <w:p>
      <w:pPr>
        <w:numPr>
          <w:ilvl w:val="0"/>
          <w:numId w:val="1001"/>
        </w:numPr>
        <w:pStyle w:val="Compact"/>
      </w:pPr>
      <w:r>
        <w:t xml:space="preserve">Preparation of monthly reservoir simulation reports using industry-standard software (Eclipse, tNavigator).</w:t>
      </w:r>
    </w:p>
    <w:p>
      <w:pPr>
        <w:numPr>
          <w:ilvl w:val="0"/>
          <w:numId w:val="1001"/>
        </w:numPr>
        <w:pStyle w:val="Compact"/>
      </w:pPr>
      <w:r>
        <w:t xml:space="preserve">Technical due diligence support for capital expenditure (CAPEX) planning and budget justification.</w:t>
      </w:r>
    </w:p>
    <w:p>
      <w:pPr>
        <w:numPr>
          <w:ilvl w:val="0"/>
          <w:numId w:val="1001"/>
        </w:numPr>
        <w:pStyle w:val="Compact"/>
      </w:pPr>
      <w:r>
        <w:t xml:space="preserve">On-site supervision and technical advisory during well workover and stimulation operations.</w:t>
      </w:r>
    </w:p>
    <w:p>
      <w:pPr>
        <w:numPr>
          <w:ilvl w:val="0"/>
          <w:numId w:val="1001"/>
        </w:numPr>
        <w:pStyle w:val="Compact"/>
      </w:pPr>
      <w:r>
        <w:t xml:space="preserve">Preparation of a final technical report summarizing all findings, recommendations, and future development strategies.</w:t>
      </w:r>
    </w:p>
    <w:p>
      <w:pPr>
        <w:pStyle w:val="FirstParagraph"/>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Senior Petroleum Engineer – Reservoir Analysis &amp; Production Optimization (on-site, Kuwait Kuwait City)</w:t>
            </w:r>
          </w:p>
        </w:tc>
        <w:tc>
          <w:tcPr/>
          <w:p>
            <w:pPr>
              <w:pStyle w:val="Compact"/>
              <w:jc w:val="left"/>
            </w:pPr>
            <w:r>
              <w:t xml:space="preserve">120</w:t>
            </w:r>
          </w:p>
        </w:tc>
        <w:tc>
          <w:tcPr/>
          <w:p>
            <w:pPr>
              <w:pStyle w:val="Compact"/>
              <w:jc w:val="left"/>
            </w:pPr>
            <w:r>
              <w:t xml:space="preserve">Man-Hours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Senior Petroleum Engineer – Wellbore Integrity &amp; Completion Design Review</w:t>
            </w:r>
          </w:p>
        </w:tc>
        <w:tc>
          <w:tcPr/>
          <w:p>
            <w:pPr>
              <w:pStyle w:val="Compact"/>
              <w:jc w:val="left"/>
            </w:pPr>
            <w:r>
              <w:t xml:space="preserve">80</w:t>
            </w:r>
          </w:p>
        </w:tc>
        <w:tc>
          <w:tcPr/>
          <w:p>
            <w:pPr>
              <w:pStyle w:val="Compact"/>
              <w:jc w:val="left"/>
            </w:pPr>
            <w:r>
              <w:t xml:space="preserve">Man-Hours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Enhanced Oil Recovery Feasibility Study (Thermal &amp; Chemical Injection Modelling)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Monthly Reservoir Simulation Reports (Eclipse / tNavigator) – 6 Months</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05</w:t>
            </w:r>
          </w:p>
        </w:tc>
        <w:tc>
          <w:tcPr/>
          <w:p>
            <w:pPr>
              <w:pStyle w:val="Compact"/>
              <w:jc w:val="left"/>
            </w:pPr>
            <w:r>
              <w:t xml:space="preserve">CAPEX Technical Due Diligence &amp; Budget Justification Support</w:t>
            </w:r>
          </w:p>
        </w:tc>
        <w:tc>
          <w:tcPr/>
          <w:p>
            <w:pPr>
              <w:pStyle w:val="Compact"/>
              <w:jc w:val="left"/>
            </w:pPr>
            <w:r>
              <w:t xml:space="preserve">40</w:t>
            </w:r>
          </w:p>
        </w:tc>
        <w:tc>
          <w:tcPr/>
          <w:p>
            <w:pPr>
              <w:pStyle w:val="Compact"/>
              <w:jc w:val="left"/>
            </w:pPr>
            <w:r>
              <w:t xml:space="preserve">Man-Hours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On-Site Supervision – Well Workover &amp; Stimulation Operations (Kuwait City Operations)</w:t>
            </w:r>
          </w:p>
        </w:tc>
        <w:tc>
          <w:tcPr/>
          <w:p>
            <w:pPr>
              <w:pStyle w:val="Compact"/>
              <w:jc w:val="left"/>
            </w:pPr>
            <w:r>
              <w:t xml:space="preserve">30</w:t>
            </w:r>
          </w:p>
        </w:tc>
        <w:tc>
          <w:tcPr/>
          <w:p>
            <w:pPr>
              <w:pStyle w:val="Compact"/>
              <w:jc w:val="left"/>
            </w:pPr>
            <w:r>
              <w:t xml:space="preserve">Man-Days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Final Technical Report – Comprehensive Findings &amp; Development Strategy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Travel, Accommodation &amp; Local Transportation within Kuwait Kuwait City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09</w:t>
            </w:r>
          </w:p>
        </w:tc>
        <w:tc>
          <w:tcPr/>
          <w:p>
            <w:pPr>
              <w:pStyle w:val="Compact"/>
              <w:jc w:val="left"/>
            </w:pPr>
            <w:r>
              <w:t xml:space="preserve">Software Licensing &amp; Computational Resources (Eclipse, tNavigator – 6-month access)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10</w:t>
            </w:r>
          </w:p>
        </w:tc>
        <w:tc>
          <w:tcPr/>
          <w:p>
            <w:pPr>
              <w:pStyle w:val="Compact"/>
              <w:jc w:val="left"/>
            </w:pPr>
            <w:r>
              <w:t xml:space="preserve">Project Management &amp; Administrative Coordination (10% of subtotal)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w:t>
            </w:r>
          </w:p>
        </w:tc>
        <w:tc>
          <w:tcPr/>
          <w:p>
            <w:pPr>
              <w:pStyle w:val="Compact"/>
              <w:jc w:val="left"/>
            </w:pPr>
            <w:r>
              <w:t xml:space="preserve">6,260.000</w:t>
            </w:r>
          </w:p>
        </w:tc>
      </w:tr>
      <w:tr>
        <w:tc>
          <w:tcPr>
            <w:gridSpan w:val="5"/>
          </w:tcPr>
          <w:p>
            <w:pPr>
              <w:pStyle w:val="Compact"/>
              <w:jc w:val="right"/>
            </w:pPr>
            <w:r>
              <w:t xml:space="preserve">Subtotal (KWD)</w:t>
            </w:r>
          </w:p>
        </w:tc>
        <w:tc>
          <w:tcPr/>
          <w:p>
            <w:pPr>
              <w:pStyle w:val="Compact"/>
              <w:jc w:val="left"/>
            </w:pPr>
            <w:r>
              <w:t xml:space="preserve">69,860.000</w:t>
            </w:r>
          </w:p>
        </w:tc>
      </w:tr>
      <w:tr>
        <w:tc>
          <w:tcPr>
            <w:gridSpan w:val="5"/>
          </w:tcPr>
          <w:p>
            <w:pPr>
              <w:pStyle w:val="Compact"/>
              <w:jc w:val="right"/>
            </w:pPr>
            <w:r>
              <w:t xml:space="preserve">VAT @ 5%</w:t>
            </w:r>
          </w:p>
        </w:tc>
        <w:tc>
          <w:tcPr/>
          <w:p>
            <w:pPr>
              <w:pStyle w:val="Compact"/>
              <w:jc w:val="left"/>
            </w:pPr>
            <w:r>
              <w:t xml:space="preserve">3,493.000</w:t>
            </w:r>
          </w:p>
        </w:tc>
      </w:tr>
      <w:tr>
        <w:tc>
          <w:tcPr>
            <w:gridSpan w:val="5"/>
          </w:tcPr>
          <w:p>
            <w:pPr>
              <w:pStyle w:val="Compact"/>
              <w:jc w:val="right"/>
            </w:pPr>
            <w:r>
              <w:t xml:space="preserve">TOTAL AMOUNT DUE (KWD)</w:t>
            </w:r>
          </w:p>
        </w:tc>
        <w:tc>
          <w:tcPr/>
          <w:p>
            <w:pPr>
              <w:pStyle w:val="Compact"/>
              <w:jc w:val="left"/>
            </w:pPr>
            <w:r>
              <w:t xml:space="preserve">73,353.000</w:t>
            </w:r>
          </w:p>
        </w:tc>
      </w:tr>
    </w:tbl>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mobilization, data collection &amp; baseline reservoir assessment in Kuwait Kuwait City</w:t>
            </w:r>
          </w:p>
        </w:tc>
        <w:tc>
          <w:tcPr/>
          <w:p>
            <w:pPr>
              <w:pStyle w:val="Compact"/>
              <w:jc w:val="left"/>
            </w:pPr>
            <w:r>
              <w:t xml:space="preserve">3 weeks</w:t>
            </w:r>
          </w:p>
        </w:tc>
        <w:tc>
          <w:tcPr/>
          <w:p>
            <w:pPr>
              <w:pStyle w:val="Compact"/>
              <w:jc w:val="left"/>
            </w:pPr>
            <w:r>
              <w:t xml:space="preserve">July 2025</w:t>
            </w:r>
          </w:p>
        </w:tc>
      </w:tr>
      <w:tr>
        <w:tc>
          <w:tcPr/>
          <w:p>
            <w:pPr>
              <w:pStyle w:val="Compact"/>
              <w:jc w:val="left"/>
            </w:pPr>
            <w:r>
              <w:t xml:space="preserve">Phase 2</w:t>
            </w:r>
          </w:p>
        </w:tc>
        <w:tc>
          <w:tcPr/>
          <w:p>
            <w:pPr>
              <w:pStyle w:val="Compact"/>
              <w:jc w:val="left"/>
            </w:pPr>
            <w:r>
              <w:t xml:space="preserve">Wellbore integrity review &amp; completion design analysis</w:t>
            </w:r>
          </w:p>
        </w:tc>
        <w:tc>
          <w:tcPr/>
          <w:p>
            <w:pPr>
              <w:pStyle w:val="Compact"/>
              <w:jc w:val="left"/>
            </w:pPr>
            <w:r>
              <w:t xml:space="preserve">4 weeks</w:t>
            </w:r>
          </w:p>
        </w:tc>
        <w:tc>
          <w:tcPr/>
          <w:p>
            <w:pPr>
              <w:pStyle w:val="Compact"/>
              <w:jc w:val="left"/>
            </w:pPr>
            <w:r>
              <w:t xml:space="preserve">August 2025</w:t>
            </w:r>
          </w:p>
        </w:tc>
      </w:tr>
      <w:tr>
        <w:tc>
          <w:tcPr/>
          <w:p>
            <w:pPr>
              <w:pStyle w:val="Compact"/>
              <w:jc w:val="left"/>
            </w:pPr>
            <w:r>
              <w:t xml:space="preserve">Phase 3</w:t>
            </w:r>
          </w:p>
        </w:tc>
        <w:tc>
          <w:tcPr/>
          <w:p>
            <w:pPr>
              <w:pStyle w:val="Compact"/>
              <w:jc w:val="left"/>
            </w:pPr>
            <w:r>
              <w:t xml:space="preserve">EOR feasibility study &amp; reservoir simulation modelling</w:t>
            </w:r>
          </w:p>
        </w:tc>
        <w:tc>
          <w:tcPr/>
          <w:p>
            <w:pPr>
              <w:pStyle w:val="Compact"/>
              <w:jc w:val="left"/>
            </w:pPr>
            <w:r>
              <w:t xml:space="preserve">8 weeks</w:t>
            </w:r>
          </w:p>
        </w:tc>
        <w:tc>
          <w:tcPr/>
          <w:p>
            <w:pPr>
              <w:pStyle w:val="Compact"/>
              <w:jc w:val="left"/>
            </w:pPr>
            <w:r>
              <w:t xml:space="preserve">October 2025</w:t>
            </w:r>
          </w:p>
        </w:tc>
      </w:tr>
      <w:tr>
        <w:tc>
          <w:tcPr/>
          <w:p>
            <w:pPr>
              <w:pStyle w:val="Compact"/>
              <w:jc w:val="left"/>
            </w:pPr>
            <w:r>
              <w:t xml:space="preserve">Phase 4</w:t>
            </w:r>
          </w:p>
        </w:tc>
        <w:tc>
          <w:tcPr/>
          <w:p>
            <w:pPr>
              <w:pStyle w:val="Compact"/>
              <w:jc w:val="left"/>
            </w:pPr>
            <w:r>
              <w:t xml:space="preserve">On-site workover supervision &amp; CAPEX due diligence</w:t>
            </w:r>
          </w:p>
        </w:tc>
        <w:tc>
          <w:tcPr/>
          <w:p>
            <w:pPr>
              <w:pStyle w:val="Compact"/>
              <w:jc w:val="left"/>
            </w:pPr>
            <w:r>
              <w:t xml:space="preserve">4 weeks</w:t>
            </w:r>
          </w:p>
        </w:tc>
        <w:tc>
          <w:tcPr/>
          <w:p>
            <w:pPr>
              <w:pStyle w:val="Compact"/>
              <w:jc w:val="left"/>
            </w:pPr>
            <w:r>
              <w:t xml:space="preserve">November 2025</w:t>
            </w:r>
          </w:p>
        </w:tc>
      </w:tr>
      <w:tr>
        <w:tc>
          <w:tcPr/>
          <w:p>
            <w:pPr>
              <w:pStyle w:val="Compact"/>
              <w:jc w:val="left"/>
            </w:pPr>
            <w:r>
              <w:t xml:space="preserve">Phase 5</w:t>
            </w:r>
          </w:p>
        </w:tc>
        <w:tc>
          <w:tcPr/>
          <w:p>
            <w:pPr>
              <w:pStyle w:val="Compact"/>
              <w:jc w:val="left"/>
            </w:pPr>
            <w:r>
              <w:t xml:space="preserve">Final technical report compilation, review &amp; handover</w:t>
            </w:r>
          </w:p>
        </w:tc>
        <w:tc>
          <w:tcPr/>
          <w:p>
            <w:pPr>
              <w:pStyle w:val="Compact"/>
              <w:jc w:val="left"/>
            </w:pPr>
            <w:r>
              <w:t xml:space="preserve">3 weeks</w:t>
            </w:r>
          </w:p>
        </w:tc>
        <w:tc>
          <w:tcPr/>
          <w:p>
            <w:pPr>
              <w:pStyle w:val="Compact"/>
              <w:jc w:val="left"/>
            </w:pPr>
            <w:r>
              <w:t xml:space="preserve">December 2025</w:t>
            </w:r>
          </w:p>
        </w:tc>
      </w:tr>
    </w:tbl>
    <w:p>
      <w:pPr>
        <w:pStyle w:val="BodyText"/>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without prior notice.</w:t>
      </w:r>
    </w:p>
    <w:p>
      <w:pPr>
        <w:numPr>
          <w:ilvl w:val="0"/>
          <w:numId w:val="1002"/>
        </w:numPr>
        <w:pStyle w:val="Compact"/>
      </w:pPr>
      <w:r>
        <w:t xml:space="preserve">Payment terms: 30% advance payment upon contract signing, 40% upon completion of Phase 3 deliverables, and 30% upon final acceptance of the technical report. All payments shall be made via bank transfer to the account of Al-Nakheel Energy &amp; Engineering Solutions W.L.L., National Bank of Kuwait, Kuwait City.</w:t>
      </w:r>
    </w:p>
    <w:p>
      <w:pPr>
        <w:numPr>
          <w:ilvl w:val="0"/>
          <w:numId w:val="1002"/>
        </w:numPr>
        <w:pStyle w:val="Compact"/>
      </w:pPr>
      <w:r>
        <w:t xml:space="preserve">The</w:t>
      </w:r>
      <w:r>
        <w:t xml:space="preserve"> </w:t>
      </w:r>
      <w:r>
        <w:t xml:space="preserve">Petroleum Engineer</w:t>
      </w:r>
      <w:r>
        <w:t xml:space="preserve"> </w:t>
      </w:r>
      <w:r>
        <w:t xml:space="preserve">assigned to this project shall hold a minimum of fifteen (15) years of relevant industry experience, a professional engineering license, and demonstrated expertise in Middle Eastern carbonate and clastic reservoirs.</w:t>
      </w:r>
    </w:p>
    <w:p>
      <w:pPr>
        <w:numPr>
          <w:ilvl w:val="0"/>
          <w:numId w:val="1002"/>
        </w:numPr>
        <w:pStyle w:val="Compact"/>
      </w:pPr>
      <w:r>
        <w:t xml:space="preserve">All work shall be performed in strict compliance with Kuwaiti labor laws, HSE regulations, and KPC operational safety standards. The contractor shall provide all necessary personal protective equipment and maintain valid insurance coverage throughout the project duration in</w:t>
      </w:r>
      <w:r>
        <w:t xml:space="preserve"> </w:t>
      </w:r>
      <w:r>
        <w:t xml:space="preserve">Kuwait, Kuwait City</w:t>
      </w:r>
      <w:r>
        <w:t xml:space="preserve">.</w:t>
      </w:r>
    </w:p>
    <w:p>
      <w:pPr>
        <w:numPr>
          <w:ilvl w:val="0"/>
          <w:numId w:val="1002"/>
        </w:numPr>
        <w:pStyle w:val="Compact"/>
      </w:pPr>
      <w:r>
        <w:t xml:space="preserve">Intellectual property: All reports, models, and data generated under this engagement shall become the exclusive property of Kuwait Petroleum Corporation upon full payment. The contractor retains the right to reference the project in general marketing materials without disclosing confidential technical data.</w:t>
      </w:r>
    </w:p>
    <w:p>
      <w:pPr>
        <w:numPr>
          <w:ilvl w:val="0"/>
          <w:numId w:val="1002"/>
        </w:numPr>
        <w:pStyle w:val="Compact"/>
      </w:pPr>
      <w:r>
        <w:t xml:space="preserve">Confidentiality: Both parties agree to maintain strict confidentiality of all proprietary information exchanged during the course of this project. This obligation shall survive the termination of the contract for a period of five (5) years.</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sanctions, or civil unrest in the State of Kuwait.</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amicable negotiation. Failing resolution within thirty (30) days, the matter shall be referred to arbitration under the rules of the Kuwait Dispute Resolution Center in</w:t>
      </w:r>
      <w:r>
        <w:t xml:space="preserve"> </w:t>
      </w:r>
      <w:r>
        <w:t xml:space="preserve">Kuwait, Kuwait City</w:t>
      </w:r>
      <w:r>
        <w:t xml:space="preserve">.</w:t>
      </w:r>
    </w:p>
    <w:p>
      <w:pPr>
        <w:numPr>
          <w:ilvl w:val="0"/>
          <w:numId w:val="1002"/>
        </w:numPr>
        <w:pStyle w:val="Compact"/>
      </w:pPr>
      <w:r>
        <w:t xml:space="preserve">This quotation does not constitute a binding contract until a formal service agreement is executed by both parties.</w:t>
      </w:r>
    </w:p>
    <w:p>
      <w:pPr>
        <w:numPr>
          <w:ilvl w:val="0"/>
          <w:numId w:val="1002"/>
        </w:numPr>
        <w:pStyle w:val="Compact"/>
      </w:pPr>
      <w:r>
        <w:t xml:space="preserve">All rates are quoted in Kuwaiti Dinars (KWD). No additional charges shall apply unless expressly agreed in writing by both parties.</w:t>
      </w:r>
    </w:p>
    <w:p>
      <w:pPr>
        <w:pStyle w:val="FirstParagraph"/>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Petroleum Engineer</w:t>
      </w:r>
      <w:r>
        <w:t xml:space="preserve"> </w:t>
      </w:r>
      <w:r>
        <w:t xml:space="preserve">services in</w:t>
      </w:r>
      <w:r>
        <w:t xml:space="preserve"> </w:t>
      </w:r>
      <w:r>
        <w:t xml:space="preserve">Kuwait, Kuwait City</w:t>
      </w:r>
      <w:r>
        <w:t xml:space="preserve">.</w:t>
      </w:r>
    </w:p>
    <w:p>
      <w:pPr>
        <w:pStyle w:val="BodyText"/>
      </w:pPr>
      <w:r>
        <w:rPr>
          <w:bCs/>
          <w:b/>
        </w:rPr>
        <w:t xml:space="preserve">For and on behalf of:</w:t>
      </w:r>
      <w:r>
        <w:br/>
      </w:r>
      <w:r>
        <w:t xml:space="preserve">Al-Nakheel Energy &amp; Engineering Solutions W.L.L.</w:t>
      </w:r>
    </w:p>
    <w:p>
      <w:pPr>
        <w:pStyle w:val="BodyText"/>
      </w:pPr>
      <w:r>
        <w:rPr>
          <w:bCs/>
          <w:b/>
        </w:rPr>
        <w:t xml:space="preserve">Name:</w:t>
      </w:r>
      <w:r>
        <w:t xml:space="preserve"> </w:t>
      </w:r>
      <w:r>
        <w:t xml:space="preserve">Eng. Khalid Al-Rashidi</w:t>
      </w:r>
      <w:r>
        <w:br/>
      </w:r>
      <w:r>
        <w:rPr>
          <w:bCs/>
          <w:b/>
        </w:rPr>
        <w:t xml:space="preserve">Title:</w:t>
      </w:r>
      <w:r>
        <w:t xml:space="preserve"> </w:t>
      </w:r>
      <w:r>
        <w:t xml:space="preserve">Managing Director</w:t>
      </w:r>
      <w:r>
        <w:br/>
      </w:r>
      <w:r>
        <w:rPr>
          <w:bCs/>
          <w:b/>
        </w:rPr>
        <w:t xml:space="preserve">Signature &amp; Company Stamp:</w:t>
      </w:r>
      <w:r>
        <w:br/>
      </w:r>
      <w:r>
        <w:rPr>
          <w:bCs/>
          <w:b/>
        </w:rPr>
        <w:t xml:space="preserve">Date:</w:t>
      </w:r>
      <w:r>
        <w:t xml:space="preserve"> </w:t>
      </w:r>
      <w:r>
        <w:t xml:space="preserve">_______________</w:t>
      </w:r>
    </w:p>
    <w:p>
      <w:pPr>
        <w:pStyle w:val="BodyText"/>
      </w:pPr>
      <w:r>
        <w:rPr>
          <w:bCs/>
          <w:b/>
        </w:rPr>
        <w:t xml:space="preserve">For and on behalf of:</w:t>
      </w:r>
      <w:r>
        <w:br/>
      </w:r>
      <w:r>
        <w:t xml:space="preserve">Kuwait Petroleum Corporation (KPC)</w:t>
      </w:r>
    </w:p>
    <w:p>
      <w:pPr>
        <w:pStyle w:val="BodyText"/>
      </w:pPr>
      <w:r>
        <w:rPr>
          <w:bCs/>
          <w:b/>
        </w:rPr>
        <w:t xml:space="preserve">Name:</w:t>
      </w:r>
      <w:r>
        <w:t xml:space="preserve"> </w:t>
      </w:r>
      <w:r>
        <w:t xml:space="preserve">Dr. Fahad Al-Mubarak</w:t>
      </w:r>
      <w:r>
        <w:br/>
      </w:r>
      <w:r>
        <w:rPr>
          <w:bCs/>
          <w:b/>
        </w:rPr>
        <w:t xml:space="preserve">Title:</w:t>
      </w:r>
      <w:r>
        <w:t xml:space="preserve"> </w:t>
      </w:r>
      <w:r>
        <w:t xml:space="preserve">Senior Technical Director</w:t>
      </w:r>
      <w:r>
        <w:br/>
      </w:r>
      <w:r>
        <w:rPr>
          <w:bCs/>
          <w:b/>
        </w:rPr>
        <w:t xml:space="preserve">Signature &amp; Company Stamp:</w:t>
      </w:r>
      <w:r>
        <w:br/>
      </w:r>
      <w:r>
        <w:rPr>
          <w:bCs/>
          <w:b/>
        </w:rPr>
        <w:t xml:space="preserve">Date:</w:t>
      </w:r>
      <w:r>
        <w:t xml:space="preserve"> </w:t>
      </w:r>
      <w:r>
        <w:t xml:space="preserve">_______________</w:t>
      </w:r>
    </w:p>
    <w:p>
      <w:pPr>
        <w:pStyle w:val="BodyText"/>
      </w:pPr>
      <w:r>
        <w:t xml:space="preserve">Al-Nakheel Energy &amp; Engineering Solutions W.L.L. | Al-Salimiyah Business Tower, Kuwait City, State of Kuwait</w:t>
      </w:r>
    </w:p>
    <w:p>
      <w:pPr>
        <w:pStyle w:val="BodyText"/>
      </w:pPr>
      <w:r>
        <w:t xml:space="preserve">Quotation Estimate No. QTE-2025-KW-0472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Kuwait Kuwait City</dc:title>
  <dc:creator/>
  <dc:language>en</dc:language>
  <cp:keywords/>
  <dcterms:created xsi:type="dcterms:W3CDTF">2026-10-10T02:23:28Z</dcterms:created>
  <dcterms:modified xsi:type="dcterms:W3CDTF">2026-10-10T02:23:28Z</dcterms:modified>
</cp:coreProperties>
</file>

<file path=docProps/custom.xml><?xml version="1.0" encoding="utf-8"?>
<Properties xmlns="http://schemas.openxmlformats.org/officeDocument/2006/custom-properties" xmlns:vt="http://schemas.openxmlformats.org/officeDocument/2006/docPropsVTypes"/>
</file>