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quotation-estimate"/>
    <w:p>
      <w:pPr>
        <w:pStyle w:val="Heading1"/>
      </w:pPr>
      <w:r>
        <w:t xml:space="preserve">Quotation Estimate</w:t>
      </w:r>
    </w:p>
    <w:p>
      <w:pPr>
        <w:pStyle w:val="FirstParagraph"/>
      </w:pPr>
      <w:r>
        <w:t xml:space="preserve">Professional Petroleum Engineering Services</w:t>
      </w:r>
    </w:p>
    <w:p>
      <w:pPr>
        <w:pStyle w:val="BodyText"/>
      </w:pPr>
      <w:r>
        <w:t xml:space="preserve">Energy &amp; Resources Consultancy Sdn. Bhd.</w:t>
      </w:r>
    </w:p>
    <w:p>
      <w:pPr>
        <w:pStyle w:val="BodyText"/>
      </w:pPr>
      <w:r>
        <w:t xml:space="preserve">Level 28, Menara Energise, Jalan Tun Razak, 50400</w:t>
      </w:r>
      <w:r>
        <w:t xml:space="preserve"> </w:t>
      </w:r>
      <w:r>
        <w:t xml:space="preserve">Malaysia Kuala Lumpur</w:t>
      </w:r>
    </w:p>
    <w:p>
      <w:pPr>
        <w:pStyle w:val="BodyText"/>
      </w:pPr>
      <w:r>
        <w:t xml:space="preserve">Tel: +603-2181-4567 | Email: quotations@energyresources.my</w:t>
      </w:r>
    </w:p>
    <w:p>
      <w:pPr>
        <w:pStyle w:val="BodyText"/>
      </w:pPr>
      <w:r>
        <w:t xml:space="preserve">Company Reg. No: 201901045678 (K) | SST Reg: 001234567890</w:t>
      </w:r>
    </w:p>
    <w:bookmarkEnd w:id="20"/>
    <w:p>
      <w:pPr>
        <w:pStyle w:val="BodyText"/>
      </w:pPr>
      <w:r>
        <w:t xml:space="preserve">Quotation Estimate for Petroleum Engineer Services</w:t>
      </w:r>
    </w:p>
    <w:bookmarkStart w:id="21" w:name="quotation-details"/>
    <w:p>
      <w:pPr>
        <w:pStyle w:val="Heading3"/>
      </w:pPr>
      <w:r>
        <w:t xml:space="preserve">Quotation Details</w:t>
      </w:r>
    </w:p>
    <w:p>
      <w:pPr>
        <w:pStyle w:val="FirstParagraph"/>
      </w:pPr>
      <w:r>
        <w:rPr>
          <w:bCs/>
          <w:b/>
        </w:rPr>
        <w:t xml:space="preserve">Reference No:</w:t>
      </w:r>
      <w:r>
        <w:t xml:space="preserve"> </w:t>
      </w:r>
      <w:r>
        <w:t xml:space="preserve">QE/PE/KL/2025/0047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Malaysian Ringgit (MYR)</w:t>
      </w:r>
    </w:p>
    <w:p>
      <w:pPr>
        <w:pStyle w:val="BodyText"/>
      </w:pPr>
      <w:r>
        <w:t xml:space="preserve">Petroleum Engineer – Malaysia Kuala Lumpur</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Company Name]</w:t>
      </w:r>
    </w:p>
    <w:p>
      <w:pPr>
        <w:pStyle w:val="BodyText"/>
      </w:pPr>
      <w:r>
        <w:rPr>
          <w:bCs/>
          <w:b/>
        </w:rPr>
        <w:t xml:space="preserve">Address:</w:t>
      </w:r>
      <w:r>
        <w:t xml:space="preserve"> </w:t>
      </w:r>
      <w:r>
        <w:t xml:space="preserve">[Client Address],</w:t>
      </w:r>
      <w:r>
        <w:t xml:space="preserve"> </w:t>
      </w:r>
      <w:r>
        <w:t xml:space="preserve">Malaysia Kuala Lumpur</w:t>
      </w:r>
    </w:p>
    <w:p>
      <w:pPr>
        <w:pStyle w:val="BodyText"/>
      </w:pPr>
      <w:r>
        <w:rPr>
          <w:bCs/>
          <w:b/>
        </w:rPr>
        <w:t xml:space="preserve">Contact Person:</w:t>
      </w:r>
      <w:r>
        <w:t xml:space="preserve"> </w:t>
      </w:r>
      <w:r>
        <w:t xml:space="preserve">[Name &amp; Title]</w:t>
      </w:r>
    </w:p>
    <w:p>
      <w:pPr>
        <w:pStyle w:val="BodyText"/>
      </w:pPr>
      <w:r>
        <w:rPr>
          <w:bCs/>
          <w:b/>
        </w:rPr>
        <w:t xml:space="preserve">Email:</w:t>
      </w:r>
      <w:r>
        <w:t xml:space="preserve"> </w:t>
      </w:r>
      <w:r>
        <w:t xml:space="preserve">[client@email.com]</w:t>
      </w:r>
    </w:p>
    <w:p>
      <w:pPr>
        <w:pStyle w:val="BodyText"/>
      </w:pPr>
      <w:r>
        <w:rPr>
          <w:bCs/>
          <w:b/>
        </w:rPr>
        <w:t xml:space="preserve">Project Ref:</w:t>
      </w:r>
      <w:r>
        <w:t xml:space="preserve"> </w:t>
      </w:r>
      <w:r>
        <w:t xml:space="preserve">[Project Reference]</w:t>
      </w:r>
    </w:p>
    <w:bookmarkEnd w:id="22"/>
    <w:bookmarkStart w:id="23"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Energy &amp; Resources Consultancy Sdn. Bhd. to provide a comprehensive and itemised cost breakdown for the engagement of a qualified</w:t>
      </w:r>
      <w:r>
        <w:t xml:space="preserve"> </w:t>
      </w:r>
      <w:r>
        <w:t xml:space="preserve">Petroleum Engineer</w:t>
      </w:r>
      <w:r>
        <w:t xml:space="preserve"> </w:t>
      </w:r>
      <w:r>
        <w:t xml:space="preserve">to deliver specialised technical services in the</w:t>
      </w:r>
      <w:r>
        <w:t xml:space="preserve"> </w:t>
      </w:r>
      <w:r>
        <w:t xml:space="preserve">Malaysia Kuala Lumpur</w:t>
      </w:r>
      <w:r>
        <w:t xml:space="preserve"> </w:t>
      </w:r>
      <w:r>
        <w:t xml:space="preserve">region. This document serves as a binding financial proposal outlining the scope of work, deliverables, timelines, and associated costs for the petroleum engineering consultancy engagement. The</w:t>
      </w:r>
      <w:r>
        <w:t xml:space="preserve"> </w:t>
      </w:r>
      <w:r>
        <w:t xml:space="preserve">Petroleum Engineer</w:t>
      </w:r>
      <w:r>
        <w:t xml:space="preserve"> </w:t>
      </w:r>
      <w:r>
        <w:t xml:space="preserve">services described herein are tailored to meet the operational and strategic requirements of the client's upstream and midstream energy projects situated within the</w:t>
      </w:r>
      <w:r>
        <w:t xml:space="preserve"> </w:t>
      </w:r>
      <w:r>
        <w:t xml:space="preserve">Malaysia Kuala Lumpur</w:t>
      </w:r>
      <w:r>
        <w:t xml:space="preserve"> </w:t>
      </w:r>
      <w:r>
        <w:t xml:space="preserve">metropolitan area and its surrounding operational zones.</w:t>
      </w:r>
    </w:p>
    <w:bookmarkEnd w:id="23"/>
    <w:bookmarkStart w:id="24" w:name="scope-of-petroleum-engineer-services"/>
    <w:p>
      <w:pPr>
        <w:pStyle w:val="Heading2"/>
      </w:pPr>
      <w:r>
        <w:t xml:space="preserve">2. Scope of Petroleum Engineer Services</w:t>
      </w:r>
    </w:p>
    <w:p>
      <w:pPr>
        <w:pStyle w:val="FirstParagraph"/>
      </w:pPr>
      <w:r>
        <w:t xml:space="preserve">The</w:t>
      </w:r>
      <w:r>
        <w:t xml:space="preserve"> </w:t>
      </w:r>
      <w:r>
        <w:t xml:space="preserve">Petroleum Engineer</w:t>
      </w:r>
      <w:r>
        <w:t xml:space="preserve"> </w:t>
      </w:r>
      <w:r>
        <w:t xml:space="preserve">engaged under this</w:t>
      </w:r>
      <w:r>
        <w:t xml:space="preserve"> </w:t>
      </w:r>
      <w:r>
        <w:t xml:space="preserve">Quotation Estimate</w:t>
      </w:r>
      <w:r>
        <w:t xml:space="preserve"> </w:t>
      </w:r>
      <w:r>
        <w:t xml:space="preserve">shall provide the following professional services in</w:t>
      </w:r>
      <w:r>
        <w:t xml:space="preserve"> </w:t>
      </w:r>
      <w:r>
        <w:t xml:space="preserve">Malaysia Kuala Lumpur</w:t>
      </w:r>
      <w:r>
        <w:t xml:space="preserve">:</w:t>
      </w:r>
    </w:p>
    <w:p>
      <w:pPr>
        <w:numPr>
          <w:ilvl w:val="0"/>
          <w:numId w:val="1001"/>
        </w:numPr>
        <w:pStyle w:val="Compact"/>
      </w:pPr>
      <w:r>
        <w:rPr>
          <w:bCs/>
          <w:b/>
        </w:rPr>
        <w:t xml:space="preserve">Reservoir Engineering Analysis:</w:t>
      </w:r>
      <w:r>
        <w:t xml:space="preserve"> </w:t>
      </w:r>
      <w:r>
        <w:t xml:space="preserve">Conduct detailed reservoir simulation, material balance studies, and production forecasting for onshore and offshore fields operating under the jurisdiction of the</w:t>
      </w:r>
      <w:r>
        <w:t xml:space="preserve"> </w:t>
      </w:r>
      <w:r>
        <w:t xml:space="preserve">Malaysia Kuala Lumpur</w:t>
      </w:r>
      <w:r>
        <w:t xml:space="preserve"> </w:t>
      </w:r>
      <w:r>
        <w:t xml:space="preserve">petroleum authority. The</w:t>
      </w:r>
      <w:r>
        <w:t xml:space="preserve"> </w:t>
      </w:r>
      <w:r>
        <w:t xml:space="preserve">Petroleum Engineer</w:t>
      </w:r>
      <w:r>
        <w:t xml:space="preserve"> </w:t>
      </w:r>
      <w:r>
        <w:t xml:space="preserve">shall prepare comprehensive reservoir performance reports aligned with PETRONAS and MIDA regulatory standards.</w:t>
      </w:r>
    </w:p>
    <w:p>
      <w:pPr>
        <w:numPr>
          <w:ilvl w:val="0"/>
          <w:numId w:val="1001"/>
        </w:numPr>
        <w:pStyle w:val="Compact"/>
      </w:pPr>
      <w:r>
        <w:rPr>
          <w:bCs/>
          <w:b/>
        </w:rPr>
        <w:t xml:space="preserve">Well Engineering &amp; Completion Design:</w:t>
      </w:r>
      <w:r>
        <w:t xml:space="preserve"> </w:t>
      </w:r>
      <w:r>
        <w:t xml:space="preserve">Design and evaluate well completion strategies, including artificial lift system selection, cementing programme review, and well integrity assessments for all active and planned wells within the</w:t>
      </w:r>
      <w:r>
        <w:t xml:space="preserve"> </w:t>
      </w:r>
      <w:r>
        <w:t xml:space="preserve">Malaysia Kuala Lumpur</w:t>
      </w:r>
      <w:r>
        <w:t xml:space="preserve"> </w:t>
      </w:r>
      <w:r>
        <w:t xml:space="preserve">operational basin.</w:t>
      </w:r>
    </w:p>
    <w:p>
      <w:pPr>
        <w:numPr>
          <w:ilvl w:val="0"/>
          <w:numId w:val="1001"/>
        </w:numPr>
        <w:pStyle w:val="Compact"/>
      </w:pPr>
      <w:r>
        <w:rPr>
          <w:bCs/>
          <w:b/>
        </w:rPr>
        <w:t xml:space="preserve">Drilling Engineering Support:</w:t>
      </w:r>
      <w:r>
        <w:t xml:space="preserve"> </w:t>
      </w:r>
      <w:r>
        <w:t xml:space="preserve">Provide technical oversight for directional drilling operations, BHA (Bottom Hole Assembly) selection, drilling fluid optimisation, and kick-tolerance analysis. The</w:t>
      </w:r>
      <w:r>
        <w:t xml:space="preserve"> </w:t>
      </w:r>
      <w:r>
        <w:t xml:space="preserve">Petroleum Engineer</w:t>
      </w:r>
      <w:r>
        <w:t xml:space="preserve"> </w:t>
      </w:r>
      <w:r>
        <w:t xml:space="preserve">shall conduct daily drilling reports and real-time technical advisory during active drilling campaigns in</w:t>
      </w:r>
      <w:r>
        <w:t xml:space="preserve"> </w:t>
      </w:r>
      <w:r>
        <w:t xml:space="preserve">Malaysia Kuala Lumpur</w:t>
      </w:r>
      <w:r>
        <w:t xml:space="preserve">.</w:t>
      </w:r>
    </w:p>
    <w:p>
      <w:pPr>
        <w:numPr>
          <w:ilvl w:val="0"/>
          <w:numId w:val="1001"/>
        </w:numPr>
        <w:pStyle w:val="Compact"/>
      </w:pPr>
      <w:r>
        <w:rPr>
          <w:bCs/>
          <w:b/>
        </w:rPr>
        <w:t xml:space="preserve">Production Optimisation &amp; Decline Analysis:</w:t>
      </w:r>
      <w:r>
        <w:t xml:space="preserve"> </w:t>
      </w:r>
      <w:r>
        <w:t xml:space="preserve">Perform nodal analysis, inflow performance relationship (IPR) modelling, and decline curve analysis to maximise hydrocarbon recovery. All production data shall be processed and reported in accordance with the Petroleum Development Act 1975 applicable in</w:t>
      </w:r>
      <w:r>
        <w:t xml:space="preserve"> </w:t>
      </w:r>
      <w:r>
        <w:t xml:space="preserve">Malaysia Kuala Lumpur</w:t>
      </w:r>
      <w:r>
        <w:t xml:space="preserve">.</w:t>
      </w:r>
    </w:p>
    <w:p>
      <w:pPr>
        <w:numPr>
          <w:ilvl w:val="0"/>
          <w:numId w:val="1001"/>
        </w:numPr>
        <w:pStyle w:val="Compact"/>
      </w:pPr>
      <w:r>
        <w:rPr>
          <w:bCs/>
          <w:b/>
        </w:rPr>
        <w:t xml:space="preserve">Health, Safety &amp; Environment (HSE) Compliance:</w:t>
      </w:r>
      <w:r>
        <w:t xml:space="preserve"> </w:t>
      </w:r>
      <w:r>
        <w:t xml:space="preserve">Ensure all</w:t>
      </w:r>
      <w:r>
        <w:t xml:space="preserve"> </w:t>
      </w:r>
      <w:r>
        <w:t xml:space="preserve">Petroleum Engineer</w:t>
      </w:r>
      <w:r>
        <w:t xml:space="preserve"> </w:t>
      </w:r>
      <w:r>
        <w:t xml:space="preserve">activities comply with DOSH (Department of Occupational Safety and Health) regulations, OSHA 1994, and the Environmental Quality Act 1974 as enforced in</w:t>
      </w:r>
      <w:r>
        <w:t xml:space="preserve"> </w:t>
      </w:r>
      <w:r>
        <w:t xml:space="preserve">Malaysia Kuala Lumpur</w:t>
      </w:r>
      <w:r>
        <w:t xml:space="preserve">.</w:t>
      </w:r>
    </w:p>
    <w:p>
      <w:pPr>
        <w:numPr>
          <w:ilvl w:val="0"/>
          <w:numId w:val="1001"/>
        </w:numPr>
        <w:pStyle w:val="Compact"/>
      </w:pPr>
      <w:r>
        <w:rPr>
          <w:bCs/>
          <w:b/>
        </w:rPr>
        <w:t xml:space="preserve">Technical Reporting &amp; Stakeholder Presentations:</w:t>
      </w:r>
      <w:r>
        <w:t xml:space="preserve"> </w:t>
      </w:r>
      <w:r>
        <w:t xml:space="preserve">Prepare monthly and quarterly technical reports, present findings to senior management, and liaise with regulatory bodies including the Malaysian Petroleum Authority (PETRONAS) and the Ministry of Energy, Science, Technology, Environment and Climate Change based in</w:t>
      </w:r>
      <w:r>
        <w:t xml:space="preserve"> </w:t>
      </w:r>
      <w:r>
        <w:t xml:space="preserve">Malaysia Kuala Lumpur</w:t>
      </w:r>
      <w:r>
        <w:t xml:space="preserve">.</w:t>
      </w:r>
    </w:p>
    <w:bookmarkEnd w:id="24"/>
    <w:bookmarkStart w:id="25" w:name="itemised-cost-breakdown"/>
    <w:p>
      <w:pPr>
        <w:pStyle w:val="Heading2"/>
      </w:pPr>
      <w:r>
        <w:t xml:space="preserve">3. Itemised Cost Breakdown</w:t>
      </w:r>
    </w:p>
    <w:p>
      <w:pPr>
        <w:pStyle w:val="FirstParagraph"/>
      </w:pPr>
      <w:r>
        <w:t xml:space="preserve">The following table presents the detailed cost structure for this</w:t>
      </w:r>
      <w:r>
        <w:t xml:space="preserve"> </w:t>
      </w:r>
      <w:r>
        <w:t xml:space="preserve">Quotation Estimate</w:t>
      </w:r>
      <w:r>
        <w:t xml:space="preserve"> </w:t>
      </w:r>
      <w:r>
        <w:t xml:space="preserve">for</w:t>
      </w:r>
      <w:r>
        <w:t xml:space="preserve"> </w:t>
      </w:r>
      <w:r>
        <w:t xml:space="preserve">Petroleum Engineer</w:t>
      </w:r>
      <w:r>
        <w:t xml:space="preserve"> </w:t>
      </w:r>
      <w:r>
        <w:t xml:space="preserve">services in</w:t>
      </w:r>
      <w:r>
        <w:t xml:space="preserve"> </w:t>
      </w:r>
      <w:r>
        <w:t xml:space="preserve">Malaysia Kuala Lumpur</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(MYR)</w:t>
            </w:r>
          </w:p>
        </w:tc>
        <w:tc>
          <w:tcPr/>
          <w:p>
            <w:pPr>
              <w:pStyle w:val="Compact"/>
              <w:jc w:val="left"/>
            </w:pPr>
            <w:r>
              <w:t xml:space="preserve">Amount (MYR)</w:t>
            </w:r>
          </w:p>
        </w:tc>
      </w:tr>
      <w:tr>
        <w:tc>
          <w:tcPr/>
          <w:p>
            <w:pPr>
              <w:pStyle w:val="Compact"/>
              <w:jc w:val="left"/>
            </w:pPr>
            <w:r>
              <w:t xml:space="preserve">01</w:t>
            </w:r>
          </w:p>
        </w:tc>
        <w:tc>
          <w:tcPr/>
          <w:p>
            <w:pPr>
              <w:pStyle w:val="Compact"/>
              <w:jc w:val="left"/>
            </w:pPr>
            <w:r>
              <w:t xml:space="preserve">Senior Petroleum Engineer – Monthly Retainer (Reservoir &amp; Production Engineering)</w:t>
            </w:r>
          </w:p>
        </w:tc>
        <w:tc>
          <w:tcPr/>
          <w:p>
            <w:pPr>
              <w:pStyle w:val="Compact"/>
              <w:jc w:val="left"/>
            </w:pPr>
            <w:r>
              <w:t xml:space="preserve">12 months</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02</w:t>
            </w:r>
          </w:p>
        </w:tc>
        <w:tc>
          <w:tcPr/>
          <w:p>
            <w:pPr>
              <w:pStyle w:val="Compact"/>
              <w:jc w:val="left"/>
            </w:pPr>
            <w:r>
              <w:t xml:space="preserve">Well Engineering &amp; Drilling Support – Per Active Well Campaign</w:t>
            </w:r>
          </w:p>
        </w:tc>
        <w:tc>
          <w:tcPr/>
          <w:p>
            <w:pPr>
              <w:pStyle w:val="Compact"/>
              <w:jc w:val="left"/>
            </w:pPr>
            <w:r>
              <w:t xml:space="preserve">6 campaigns</w:t>
            </w:r>
          </w:p>
        </w:tc>
        <w:tc>
          <w:tcPr/>
          <w:p>
            <w:pPr>
              <w:pStyle w:val="Compact"/>
              <w:jc w:val="left"/>
            </w:pPr>
            <w:r>
              <w:t xml:space="preserve">38,500.00</w:t>
            </w:r>
          </w:p>
        </w:tc>
        <w:tc>
          <w:tcPr/>
          <w:p>
            <w:pPr>
              <w:pStyle w:val="Compact"/>
              <w:jc w:val="left"/>
            </w:pPr>
            <w:r>
              <w:t xml:space="preserve">231,000.00</w:t>
            </w:r>
          </w:p>
        </w:tc>
      </w:tr>
      <w:tr>
        <w:tc>
          <w:tcPr/>
          <w:p>
            <w:pPr>
              <w:pStyle w:val="Compact"/>
              <w:jc w:val="left"/>
            </w:pPr>
            <w:r>
              <w:t xml:space="preserve">03</w:t>
            </w:r>
          </w:p>
        </w:tc>
        <w:tc>
          <w:tcPr/>
          <w:p>
            <w:pPr>
              <w:pStyle w:val="Compact"/>
              <w:jc w:val="left"/>
            </w:pPr>
            <w:r>
              <w:t xml:space="preserve">Reservoir Simulation &amp; Modelling (Black-Oil &amp; Compositional)</w:t>
            </w:r>
          </w:p>
        </w:tc>
        <w:tc>
          <w:tcPr/>
          <w:p>
            <w:pPr>
              <w:pStyle w:val="Compact"/>
              <w:jc w:val="left"/>
            </w:pPr>
            <w:r>
              <w:t xml:space="preserve">1 project</w:t>
            </w:r>
          </w:p>
        </w:tc>
        <w:tc>
          <w:tcPr/>
          <w:p>
            <w:pPr>
              <w:pStyle w:val="Compact"/>
              <w:jc w:val="left"/>
            </w:pPr>
            <w:r>
              <w:t xml:space="preserve">125,000.00</w:t>
            </w:r>
          </w:p>
        </w:tc>
        <w:tc>
          <w:tcPr/>
          <w:p>
            <w:pPr>
              <w:pStyle w:val="Compact"/>
              <w:jc w:val="left"/>
            </w:pPr>
            <w:r>
              <w:t xml:space="preserve">125,000.00</w:t>
            </w:r>
          </w:p>
        </w:tc>
      </w:tr>
      <w:tr>
        <w:tc>
          <w:tcPr/>
          <w:p>
            <w:pPr>
              <w:pStyle w:val="Compact"/>
              <w:jc w:val="left"/>
            </w:pPr>
            <w:r>
              <w:t xml:space="preserve">04</w:t>
            </w:r>
          </w:p>
        </w:tc>
        <w:tc>
          <w:tcPr/>
          <w:p>
            <w:pPr>
              <w:pStyle w:val="Compact"/>
              <w:jc w:val="left"/>
            </w:pPr>
            <w:r>
              <w:t xml:space="preserve">Technical Reporting, HSE Audits &amp; Regulatory Liaison</w:t>
            </w:r>
          </w:p>
        </w:tc>
        <w:tc>
          <w:tcPr/>
          <w:p>
            <w:pPr>
              <w:pStyle w:val="Compact"/>
              <w:jc w:val="left"/>
            </w:pPr>
            <w:r>
              <w:t xml:space="preserve">12 months</w:t>
            </w:r>
          </w:p>
        </w:tc>
        <w:tc>
          <w:tcPr/>
          <w:p>
            <w:pPr>
              <w:pStyle w:val="Compact"/>
              <w:jc w:val="left"/>
            </w:pPr>
            <w:r>
              <w:t xml:space="preserve">18,000.00</w:t>
            </w:r>
          </w:p>
        </w:tc>
        <w:tc>
          <w:tcPr/>
          <w:p>
            <w:pPr>
              <w:pStyle w:val="Compact"/>
              <w:jc w:val="left"/>
            </w:pPr>
            <w:r>
              <w:t xml:space="preserve">216,000.00</w:t>
            </w:r>
          </w:p>
        </w:tc>
      </w:tr>
      <w:tr>
        <w:tc>
          <w:tcPr/>
          <w:p>
            <w:pPr>
              <w:pStyle w:val="Compact"/>
              <w:jc w:val="left"/>
            </w:pPr>
            <w:r>
              <w:t xml:space="preserve">05</w:t>
            </w:r>
          </w:p>
        </w:tc>
        <w:tc>
          <w:tcPr/>
          <w:p>
            <w:pPr>
              <w:pStyle w:val="Compact"/>
              <w:jc w:val="left"/>
            </w:pPr>
            <w:r>
              <w:t xml:space="preserve">Travel, Accommodation &amp; Local Transport within Malaysia Kuala Lumpur</w:t>
            </w:r>
          </w:p>
        </w:tc>
        <w:tc>
          <w:tcPr/>
          <w:p>
            <w:pPr>
              <w:pStyle w:val="Compact"/>
              <w:jc w:val="left"/>
            </w:pPr>
            <w:r>
              <w:t xml:space="preserve">12 months</w:t>
            </w:r>
          </w:p>
        </w:tc>
        <w:tc>
          <w:tcPr/>
          <w:p>
            <w:pPr>
              <w:pStyle w:val="Compact"/>
              <w:jc w:val="left"/>
            </w:pPr>
            <w:r>
              <w:t xml:space="preserve">6,500.00</w:t>
            </w:r>
          </w:p>
        </w:tc>
        <w:tc>
          <w:tcPr/>
          <w:p>
            <w:pPr>
              <w:pStyle w:val="Compact"/>
              <w:jc w:val="left"/>
            </w:pPr>
            <w:r>
              <w:t xml:space="preserve">78,000.00</w:t>
            </w:r>
          </w:p>
        </w:tc>
      </w:tr>
      <w:tr>
        <w:tc>
          <w:tcPr/>
          <w:p>
            <w:pPr>
              <w:pStyle w:val="Compact"/>
              <w:jc w:val="left"/>
            </w:pPr>
            <w:r>
              <w:t xml:space="preserve">06</w:t>
            </w:r>
          </w:p>
        </w:tc>
        <w:tc>
          <w:tcPr/>
          <w:p>
            <w:pPr>
              <w:pStyle w:val="Compact"/>
              <w:jc w:val="left"/>
            </w:pPr>
            <w:r>
              <w:t xml:space="preserve">Software Licences (Petrel, Eclipse, Landmark) – Annual Subscription</w:t>
            </w:r>
          </w:p>
        </w:tc>
        <w:tc>
          <w:tcPr/>
          <w:p>
            <w:pPr>
              <w:pStyle w:val="Compact"/>
              <w:jc w:val="left"/>
            </w:pPr>
            <w:r>
              <w:t xml:space="preserve">12 months</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07</w:t>
            </w:r>
          </w:p>
        </w:tc>
        <w:tc>
          <w:tcPr/>
          <w:p>
            <w:pPr>
              <w:pStyle w:val="Compact"/>
              <w:jc w:val="left"/>
            </w:pPr>
            <w:r>
              <w:t xml:space="preserve">Project Management &amp; Coordination Overhead (10%)</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123,200.00</w:t>
            </w:r>
          </w:p>
        </w:tc>
      </w:tr>
      <w:tr>
        <w:tc>
          <w:tcPr>
            <w:gridSpan w:val="4"/>
          </w:tcPr>
          <w:p>
            <w:pPr>
              <w:pStyle w:val="Compact"/>
              <w:jc w:val="right"/>
            </w:pPr>
            <w:r>
              <w:t xml:space="preserve">Subtotal (MYR)</w:t>
            </w:r>
          </w:p>
        </w:tc>
        <w:tc>
          <w:tcPr/>
          <w:p>
            <w:pPr>
              <w:pStyle w:val="Compact"/>
              <w:jc w:val="left"/>
            </w:pPr>
            <w:r>
              <w:t xml:space="preserve">1,355,200.00</w:t>
            </w:r>
          </w:p>
        </w:tc>
      </w:tr>
      <w:tr>
        <w:tc>
          <w:tcPr>
            <w:gridSpan w:val="4"/>
          </w:tcPr>
          <w:p>
            <w:pPr>
              <w:pStyle w:val="Compact"/>
              <w:jc w:val="right"/>
            </w:pPr>
            <w:r>
              <w:t xml:space="preserve">SST @ 6%</w:t>
            </w:r>
          </w:p>
        </w:tc>
        <w:tc>
          <w:tcPr/>
          <w:p>
            <w:pPr>
              <w:pStyle w:val="Compact"/>
              <w:jc w:val="left"/>
            </w:pPr>
            <w:r>
              <w:t xml:space="preserve">81,312.00</w:t>
            </w:r>
          </w:p>
        </w:tc>
      </w:tr>
      <w:tr>
        <w:tc>
          <w:tcPr>
            <w:gridSpan w:val="4"/>
          </w:tcPr>
          <w:p>
            <w:pPr>
              <w:pStyle w:val="Compact"/>
              <w:jc w:val="right"/>
            </w:pPr>
            <w:r>
              <w:rPr>
                <w:bCs/>
                <w:b/>
              </w:rPr>
              <w:t xml:space="preserve">TOTAL AMOUNT DUE (MYR)</w:t>
            </w:r>
          </w:p>
        </w:tc>
        <w:tc>
          <w:tcPr/>
          <w:p>
            <w:pPr>
              <w:pStyle w:val="Compact"/>
              <w:jc w:val="left"/>
            </w:pPr>
            <w:r>
              <w:rPr>
                <w:bCs/>
                <w:b/>
              </w:rPr>
              <w:t xml:space="preserve">1,436,512.00</w:t>
            </w:r>
          </w:p>
        </w:tc>
      </w:tr>
    </w:tbl>
    <w:bookmarkEnd w:id="25"/>
    <w:bookmarkStart w:id="26" w:name="payment-terms"/>
    <w:p>
      <w:pPr>
        <w:pStyle w:val="Heading2"/>
      </w:pPr>
      <w:r>
        <w:t xml:space="preserve">4. Payment Terms</w:t>
      </w:r>
    </w:p>
    <w:p>
      <w:pPr>
        <w:pStyle w:val="FirstParagraph"/>
      </w:pPr>
      <w:r>
        <w:t xml:space="preserve">Payment for this</w:t>
      </w:r>
      <w:r>
        <w:t xml:space="preserve"> </w:t>
      </w:r>
      <w:r>
        <w:t xml:space="preserve">Quotation Estimate</w:t>
      </w:r>
      <w:r>
        <w:t xml:space="preserve"> </w:t>
      </w:r>
      <w:r>
        <w:t xml:space="preserve">shall be made in monthly instalments within thirty (30) calendar days from the date of invoice issuance. The first payment shall be due upon the commencement of the</w:t>
      </w:r>
      <w:r>
        <w:t xml:space="preserve"> </w:t>
      </w:r>
      <w:r>
        <w:t xml:space="preserve">Petroleum Engineer</w:t>
      </w:r>
      <w:r>
        <w:t xml:space="preserve"> </w:t>
      </w:r>
      <w:r>
        <w:t xml:space="preserve">engagement. All payments shall be remitted via bank transfer to the account of Energy &amp; Resources Consultancy Sdn. Bhd. at Maybank,</w:t>
      </w:r>
      <w:r>
        <w:t xml:space="preserve"> </w:t>
      </w:r>
      <w:r>
        <w:t xml:space="preserve">Malaysia Kuala Lumpur</w:t>
      </w:r>
      <w:r>
        <w:t xml:space="preserve"> </w:t>
      </w:r>
      <w:r>
        <w:t xml:space="preserve">branch. Late payments shall attract a penalty of 2% per month as stipulated under the Late Payment of Outstanding Claims Act 2017.</w:t>
      </w:r>
    </w:p>
    <w:bookmarkEnd w:id="26"/>
    <w:bookmarkStart w:id="27"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days from the date of issue. Beyond this period, pricing for the</w:t>
      </w:r>
      <w:r>
        <w:t xml:space="preserve"> </w:t>
      </w:r>
      <w:r>
        <w:t xml:space="preserve">Petroleum Engineer</w:t>
      </w:r>
      <w:r>
        <w:t xml:space="preserve"> </w:t>
      </w:r>
      <w:r>
        <w:t xml:space="preserve">services may be subject to revision based on market conditions in</w:t>
      </w:r>
      <w:r>
        <w:t xml:space="preserve"> </w:t>
      </w:r>
      <w:r>
        <w:t xml:space="preserve">Malaysia Kuala Lumpur</w:t>
      </w:r>
      <w:r>
        <w:t xml:space="preserve">.</w:t>
      </w:r>
    </w:p>
    <w:p>
      <w:pPr>
        <w:numPr>
          <w:ilvl w:val="0"/>
          <w:numId w:val="1002"/>
        </w:numPr>
        <w:pStyle w:val="Compact"/>
      </w:pPr>
      <w:r>
        <w:t xml:space="preserve">All</w:t>
      </w:r>
      <w:r>
        <w:t xml:space="preserve"> </w:t>
      </w:r>
      <w:r>
        <w:t xml:space="preserve">Petroleum Engineer</w:t>
      </w:r>
      <w:r>
        <w:t xml:space="preserve"> </w:t>
      </w:r>
      <w:r>
        <w:t xml:space="preserve">deliverables shall be subject to a quality assurance review by the client's technical team prior to final acceptance.</w:t>
      </w:r>
    </w:p>
    <w:p>
      <w:pPr>
        <w:numPr>
          <w:ilvl w:val="0"/>
          <w:numId w:val="1002"/>
        </w:numPr>
        <w:pStyle w:val="Compact"/>
      </w:pPr>
      <w:r>
        <w:t xml:space="preserve">The</w:t>
      </w:r>
      <w:r>
        <w:t xml:space="preserve"> </w:t>
      </w:r>
      <w:r>
        <w:t xml:space="preserve">Petroleum Engineer</w:t>
      </w:r>
      <w:r>
        <w:t xml:space="preserve"> </w:t>
      </w:r>
      <w:r>
        <w:t xml:space="preserve">shall maintain full professional indemnity insurance with a minimum coverage of MYR 5,000,000, valid throughout the engagement period in</w:t>
      </w:r>
      <w:r>
        <w:t xml:space="preserve"> </w:t>
      </w:r>
      <w:r>
        <w:t xml:space="preserve">Malaysia Kuala Lumpur</w:t>
      </w:r>
      <w:r>
        <w:t xml:space="preserve">.</w:t>
      </w:r>
    </w:p>
    <w:p>
      <w:pPr>
        <w:numPr>
          <w:ilvl w:val="0"/>
          <w:numId w:val="1002"/>
        </w:numPr>
        <w:pStyle w:val="Compact"/>
      </w:pPr>
      <w:r>
        <w:t xml:space="preserve">Confidentiality and intellectual property rights shall be governed by a separate Non-Disclosure Agreement (NDA) to be executed prior to the commencement of work.</w:t>
      </w:r>
    </w:p>
    <w:p>
      <w:pPr>
        <w:numPr>
          <w:ilvl w:val="0"/>
          <w:numId w:val="1002"/>
        </w:numPr>
        <w:pStyle w:val="Compact"/>
      </w:pPr>
      <w:r>
        <w:t xml:space="preserve">Any scope changes or additional services beyond the original</w:t>
      </w:r>
      <w:r>
        <w:t xml:space="preserve"> </w:t>
      </w:r>
      <w:r>
        <w:t xml:space="preserve">Quotation Estimate</w:t>
      </w:r>
      <w:r>
        <w:t xml:space="preserve"> </w:t>
      </w:r>
      <w:r>
        <w:t xml:space="preserve">shall require a written variation order signed by both parties.</w:t>
      </w:r>
    </w:p>
    <w:p>
      <w:pPr>
        <w:numPr>
          <w:ilvl w:val="0"/>
          <w:numId w:val="1002"/>
        </w:numPr>
        <w:pStyle w:val="Compact"/>
      </w:pPr>
      <w:r>
        <w:t xml:space="preserve">This engagement is governed by the laws of Malaysia, and any disputes shall be resolved through arbitration in</w:t>
      </w:r>
      <w:r>
        <w:t xml:space="preserve"> </w:t>
      </w:r>
      <w:r>
        <w:t xml:space="preserve">Malaysia Kuala Lumpur</w:t>
      </w:r>
      <w:r>
        <w:t xml:space="preserve"> </w:t>
      </w:r>
      <w:r>
        <w:t xml:space="preserve">in accordance with the Arbitration Act 2005.</w:t>
      </w:r>
    </w:p>
    <w:bookmarkEnd w:id="27"/>
    <w:bookmarkStart w:id="28" w:name="acceptance-and-authorisation"/>
    <w:p>
      <w:pPr>
        <w:pStyle w:val="Heading2"/>
      </w:pPr>
      <w:r>
        <w:t xml:space="preserve">6. Acceptance and Authorisation</w:t>
      </w:r>
    </w:p>
    <w:p>
      <w:pPr>
        <w:pStyle w:val="FirstParagraph"/>
      </w:pPr>
      <w:r>
        <w:t xml:space="preserve">By signing below, the client acknowledges and accepts this</w:t>
      </w:r>
      <w:r>
        <w:t xml:space="preserve"> </w:t>
      </w:r>
      <w:r>
        <w:t xml:space="preserve">Quotation Estimate</w:t>
      </w:r>
      <w:r>
        <w:t xml:space="preserve"> </w:t>
      </w:r>
      <w:r>
        <w:t xml:space="preserve">for the engagement of a</w:t>
      </w:r>
      <w:r>
        <w:t xml:space="preserve"> </w:t>
      </w:r>
      <w:r>
        <w:t xml:space="preserve">Petroleum Engineer</w:t>
      </w:r>
      <w:r>
        <w:t xml:space="preserve"> </w:t>
      </w:r>
      <w:r>
        <w:t xml:space="preserve">to provide the services described herein in</w:t>
      </w:r>
      <w:r>
        <w:t xml:space="preserve"> </w:t>
      </w:r>
      <w:r>
        <w:t xml:space="preserve">Malaysia Kuala Lumpur</w:t>
      </w:r>
      <w:r>
        <w:t xml:space="preserve">. This acceptance constitutes a binding agreement between both parties subject to the terms and conditions outlined above.</w:t>
      </w:r>
    </w:p>
    <w:bookmarkEnd w:id="28"/>
    <w:p>
      <w:pPr>
        <w:pStyle w:val="BodyText"/>
      </w:pPr>
      <w:r>
        <w:rPr>
          <w:bCs/>
          <w:b/>
        </w:rPr>
        <w:t xml:space="preserve">For and on behalf of:</w:t>
      </w:r>
      <w:r>
        <w:br/>
      </w:r>
      <w:r>
        <w:t xml:space="preserve">Energy &amp; Resources Consultancy Sdn. Bhd.</w:t>
      </w:r>
    </w:p>
    <w:p>
      <w:pPr>
        <w:pStyle w:val="BodyText"/>
      </w:pPr>
      <w:r>
        <w:t xml:space="preserve">Authorised Signatory</w:t>
      </w:r>
    </w:p>
    <w:p>
      <w:pPr>
        <w:pStyle w:val="BodyText"/>
      </w:pPr>
      <w:r>
        <w:t xml:space="preserve">Name: _________________________</w:t>
      </w:r>
    </w:p>
    <w:p>
      <w:pPr>
        <w:pStyle w:val="BodyText"/>
      </w:pPr>
      <w:r>
        <w:t xml:space="preserve">Designation: Managing Director</w:t>
      </w:r>
    </w:p>
    <w:p>
      <w:pPr>
        <w:pStyle w:val="BodyText"/>
      </w:pPr>
      <w:r>
        <w:t xml:space="preserve">Date: _________________________</w:t>
      </w:r>
    </w:p>
    <w:p>
      <w:pPr>
        <w:pStyle w:val="BodyText"/>
      </w:pPr>
      <w:r>
        <w:rPr>
          <w:bCs/>
          <w:b/>
        </w:rPr>
        <w:t xml:space="preserve">For and on behalf of:</w:t>
      </w:r>
      <w:r>
        <w:br/>
      </w:r>
      <w:r>
        <w:t xml:space="preserve">[Client Company Name]</w:t>
      </w:r>
    </w:p>
    <w:p>
      <w:pPr>
        <w:pStyle w:val="BodyText"/>
      </w:pPr>
      <w:r>
        <w:t xml:space="preserve">Authorised Signatory</w:t>
      </w:r>
    </w:p>
    <w:p>
      <w:pPr>
        <w:pStyle w:val="BodyText"/>
      </w:pPr>
      <w:r>
        <w:t xml:space="preserve">Name: _________________________</w:t>
      </w:r>
    </w:p>
    <w:p>
      <w:pPr>
        <w:pStyle w:val="BodyText"/>
      </w:pPr>
      <w:r>
        <w:t xml:space="preserve">Designation: _________________________</w:t>
      </w:r>
    </w:p>
    <w:p>
      <w:pPr>
        <w:pStyle w:val="BodyText"/>
      </w:pPr>
      <w:r>
        <w:t xml:space="preserve">Date: _________________________</w:t>
      </w:r>
    </w:p>
    <w:p>
      <w:pPr>
        <w:pStyle w:val="BodyText"/>
      </w:pPr>
      <w:r>
        <w:t xml:space="preserve">This</w:t>
      </w:r>
      <w:r>
        <w:t xml:space="preserve"> </w:t>
      </w:r>
      <w:r>
        <w:t xml:space="preserve">Quotation Estimate</w:t>
      </w:r>
      <w:r>
        <w:t xml:space="preserve"> </w:t>
      </w:r>
      <w:r>
        <w:t xml:space="preserve">(Ref: QE/PE/KL/2025/0047) is issued for</w:t>
      </w:r>
      <w:r>
        <w:t xml:space="preserve"> </w:t>
      </w:r>
      <w:r>
        <w:t xml:space="preserve">Petroleum Engineer</w:t>
      </w:r>
      <w:r>
        <w:t xml:space="preserve"> </w:t>
      </w:r>
      <w:r>
        <w:t xml:space="preserve">services in</w:t>
      </w:r>
      <w:r>
        <w:t xml:space="preserve"> </w:t>
      </w:r>
      <w:r>
        <w:t xml:space="preserve">Malaysia Kuala Lumpur</w:t>
      </w:r>
      <w:r>
        <w:t xml:space="preserve">. All figures are in Malaysian Ringgit (MYR) and inclusive of applicable taxes as stated. This document is confidential and intended solely for the named recipient. © 2025 Energy &amp; Resources Consultancy Sdn. Bhd.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Petroleum Engineer Services - Malaysia Kuala Lumpur</dc:title>
  <dc:creator/>
  <dc:language>en</dc:language>
  <cp:keywords/>
  <dcterms:created xsi:type="dcterms:W3CDTF">2026-10-10T02:35:52Z</dcterms:created>
  <dcterms:modified xsi:type="dcterms:W3CDTF">2026-10-10T02:35:52Z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